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8D" w:rsidRDefault="00F452D6" w:rsidP="00F452D6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 w:rsidRPr="00F452D6">
        <w:t xml:space="preserve">Quick safety scan – </w:t>
      </w:r>
      <w:r w:rsidR="008A210B">
        <w:t>Slips, trips and falls in the Automotive Workshop</w:t>
      </w:r>
    </w:p>
    <w:p w:rsidR="00F452D6" w:rsidRPr="00F452D6" w:rsidRDefault="00B71F20" w:rsidP="00F452D6">
      <w:pPr>
        <w:pStyle w:val="BodyText"/>
      </w:pPr>
      <w:r w:rsidRPr="00B71F20">
        <w:t xml:space="preserve">Use this quick safety scan to look at your safety systems and practices to manage hazards from </w:t>
      </w:r>
      <w:r>
        <w:t>slips, trips and falls</w:t>
      </w:r>
      <w:r w:rsidRPr="00B71F20">
        <w:t>. Thos</w:t>
      </w:r>
      <w:bookmarkStart w:id="5" w:name="_GoBack"/>
      <w:bookmarkEnd w:id="5"/>
      <w:r w:rsidRPr="00B71F20">
        <w:t>e items where you tick ‘Sometimes’ or ‘Never’ will need action to fix or improve. The documents in italics are on the SafeWork SA website.</w:t>
      </w:r>
    </w:p>
    <w:p w:rsidR="00112D38" w:rsidRPr="00860BDD" w:rsidRDefault="008A210B" w:rsidP="00A46844">
      <w:pPr>
        <w:pStyle w:val="Heading2"/>
        <w:spacing w:before="480" w:after="240"/>
      </w:pPr>
      <w:bookmarkStart w:id="6" w:name="_Toc7188663"/>
      <w:bookmarkStart w:id="7" w:name="_Toc7613011"/>
      <w:bookmarkStart w:id="8" w:name="_Toc479596899"/>
      <w:r>
        <w:t>FLOORS, WALKWAYS, STAIRS AND LANDINGS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F452D6" w:rsidRPr="005A33C9" w:rsidTr="001A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F452D6" w:rsidRPr="005A33C9" w:rsidRDefault="00F452D6" w:rsidP="001A4DB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8A210B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8A210B" w:rsidRPr="00EF1250" w:rsidRDefault="008A210B" w:rsidP="008A210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All areas are free of slip and trip hazards (e.g. air lines, hoses, electrical cables and leads, tools, spills, boxes, rubbish, uneven surfaces)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624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7344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528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8A210B" w:rsidRPr="00EF1250" w:rsidRDefault="008A210B" w:rsidP="008A210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Fluid spills are cleaned up immediately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138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573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325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8A210B" w:rsidRPr="00EF1250" w:rsidRDefault="008A210B" w:rsidP="008A210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Walkways, ramps and steps are wide enough, clearly marked and free of obstructions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9073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033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8066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8A210B" w:rsidRPr="00EF1250" w:rsidRDefault="008A210B" w:rsidP="008A210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External areas (e.g. carparks, pathways) are free of slip and trip hazards (e.g. potholes, uneven paving)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8486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0838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2887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8A210B" w:rsidRPr="00EF1250" w:rsidRDefault="008A210B" w:rsidP="008A210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Drains are covered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8176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0600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4986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8A210B" w:rsidRPr="00EF1250" w:rsidRDefault="008A210B" w:rsidP="008A210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Floor surfaces and mats are in good condition to prevent slipping when wet or contaminated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51068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353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8062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8A210B" w:rsidRPr="00EF1250" w:rsidRDefault="008A210B" w:rsidP="008A210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Stairs and hand rails (where required) are in good condition (e.g. anti-slip treads)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2974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4489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5067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8A210B" w:rsidRPr="00EF1250" w:rsidRDefault="008A210B" w:rsidP="008A210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Stairway landings are clear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3237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6147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7868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8A210B" w:rsidRPr="00EF1250" w:rsidRDefault="008A210B" w:rsidP="008A210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Advisory/warning signage is in place (e.g. Slippery When Wet/Beware of Opening Door)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1520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6482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030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8A210B" w:rsidRPr="00EF1250" w:rsidRDefault="008A210B" w:rsidP="008A210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All areas are well lit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778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2335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5223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8A210B" w:rsidRPr="00EF1250" w:rsidRDefault="008A210B" w:rsidP="008A210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are provided with/instructed to wear non-slip footwear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41516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9946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3261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EF4C05" w:rsidRDefault="00EF4C05" w:rsidP="00EF4C05">
      <w:pPr>
        <w:pStyle w:val="BodyText"/>
      </w:pPr>
    </w:p>
    <w:p w:rsidR="008A210B" w:rsidRDefault="008A210B" w:rsidP="00883661">
      <w:pPr>
        <w:pStyle w:val="Heading2"/>
      </w:pPr>
      <w:r>
        <w:br w:type="page"/>
      </w:r>
    </w:p>
    <w:p w:rsidR="00883661" w:rsidRDefault="008A210B" w:rsidP="00883661">
      <w:pPr>
        <w:pStyle w:val="Heading2"/>
      </w:pPr>
      <w:r>
        <w:lastRenderedPageBreak/>
        <w:t>LADDERS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883661" w:rsidRPr="005A33C9" w:rsidTr="001A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661" w:rsidRPr="005A33C9" w:rsidRDefault="00883661" w:rsidP="001A4DB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8A210B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A210B" w:rsidRPr="008A210B" w:rsidRDefault="008A210B" w:rsidP="008A210B">
            <w:pPr>
              <w:pStyle w:val="TableParagraph"/>
              <w:spacing w:before="120" w:after="120"/>
              <w:rPr>
                <w:b w:val="0"/>
                <w:w w:val="95"/>
                <w:sz w:val="18"/>
              </w:rPr>
            </w:pPr>
            <w:r w:rsidRPr="008A210B">
              <w:rPr>
                <w:b w:val="0"/>
                <w:w w:val="95"/>
                <w:sz w:val="18"/>
              </w:rPr>
              <w:t>Ladders used are stable and in good condition, and only used for their designed purpose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3483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3299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2350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A210B" w:rsidRPr="008A210B" w:rsidRDefault="008A210B" w:rsidP="008A210B">
            <w:pPr>
              <w:pStyle w:val="TableParagraph"/>
              <w:spacing w:before="120" w:after="120"/>
              <w:rPr>
                <w:b w:val="0"/>
                <w:w w:val="95"/>
                <w:sz w:val="18"/>
              </w:rPr>
            </w:pPr>
            <w:r w:rsidRPr="008A210B">
              <w:rPr>
                <w:b w:val="0"/>
                <w:w w:val="95"/>
                <w:sz w:val="18"/>
              </w:rPr>
              <w:t>Non-conductive, insulated ladders are used for electrical work or near electrical hazards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3660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6131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5249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A210B" w:rsidRPr="008A210B" w:rsidRDefault="008A210B" w:rsidP="008A210B">
            <w:pPr>
              <w:pStyle w:val="TableParagraph"/>
              <w:spacing w:before="120" w:after="120"/>
              <w:rPr>
                <w:b w:val="0"/>
                <w:w w:val="95"/>
                <w:sz w:val="18"/>
              </w:rPr>
            </w:pPr>
            <w:r w:rsidRPr="008A210B">
              <w:rPr>
                <w:b w:val="0"/>
                <w:w w:val="95"/>
                <w:sz w:val="18"/>
              </w:rPr>
              <w:t>Ladders are rated for industrial use (at least 120 kg)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252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9165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9821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A210B" w:rsidRPr="008A210B" w:rsidRDefault="008A210B" w:rsidP="008A210B">
            <w:pPr>
              <w:pStyle w:val="TableParagraph"/>
              <w:spacing w:before="120" w:after="120"/>
              <w:rPr>
                <w:b w:val="0"/>
                <w:w w:val="95"/>
                <w:sz w:val="18"/>
              </w:rPr>
            </w:pPr>
            <w:r w:rsidRPr="008A210B">
              <w:rPr>
                <w:b w:val="0"/>
                <w:w w:val="95"/>
                <w:sz w:val="18"/>
              </w:rPr>
              <w:t>Manufacturer’s load rating is complied with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33645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86201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6184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A210B" w:rsidRPr="008A210B" w:rsidRDefault="008A210B" w:rsidP="008A210B">
            <w:pPr>
              <w:pStyle w:val="TableParagraph"/>
              <w:spacing w:before="120" w:after="120"/>
              <w:rPr>
                <w:b w:val="0"/>
                <w:w w:val="95"/>
                <w:sz w:val="18"/>
              </w:rPr>
            </w:pPr>
            <w:r w:rsidRPr="008A210B">
              <w:rPr>
                <w:b w:val="0"/>
                <w:w w:val="95"/>
                <w:sz w:val="18"/>
              </w:rPr>
              <w:t>Ladders meet Australian Standards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1344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5294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0443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A210B" w:rsidRPr="008A210B" w:rsidRDefault="008A210B" w:rsidP="008A210B">
            <w:pPr>
              <w:pStyle w:val="TableParagraph"/>
              <w:spacing w:before="120" w:after="120"/>
              <w:rPr>
                <w:b w:val="0"/>
                <w:w w:val="95"/>
                <w:sz w:val="18"/>
              </w:rPr>
            </w:pPr>
            <w:r w:rsidRPr="008A210B">
              <w:rPr>
                <w:b w:val="0"/>
                <w:w w:val="95"/>
                <w:sz w:val="18"/>
              </w:rPr>
              <w:t>Workers are instructed in rules for ladder use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6747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46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9953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A210B" w:rsidRPr="008A210B" w:rsidRDefault="008A210B" w:rsidP="008A210B">
            <w:pPr>
              <w:pStyle w:val="TableParagraph"/>
              <w:spacing w:before="120" w:after="120"/>
              <w:rPr>
                <w:b w:val="0"/>
                <w:w w:val="95"/>
                <w:sz w:val="18"/>
              </w:rPr>
            </w:pPr>
            <w:r w:rsidRPr="008A210B">
              <w:rPr>
                <w:b w:val="0"/>
                <w:w w:val="95"/>
                <w:sz w:val="18"/>
              </w:rPr>
              <w:t>All ladders are regularly checked and periodically serviced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5483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9221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6052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A210B" w:rsidRPr="008A210B" w:rsidRDefault="008A210B" w:rsidP="008A210B">
            <w:pPr>
              <w:pStyle w:val="TableParagraph"/>
              <w:spacing w:before="120" w:after="120"/>
              <w:rPr>
                <w:b w:val="0"/>
                <w:w w:val="95"/>
                <w:sz w:val="18"/>
              </w:rPr>
            </w:pPr>
            <w:r w:rsidRPr="008A210B">
              <w:rPr>
                <w:b w:val="0"/>
                <w:w w:val="95"/>
                <w:sz w:val="18"/>
              </w:rPr>
              <w:t>Step/trestle ladders are only used in fully open position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12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6622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1175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A210B" w:rsidRPr="008A210B" w:rsidRDefault="008A210B" w:rsidP="008A210B">
            <w:pPr>
              <w:pStyle w:val="TableParagraph"/>
              <w:spacing w:before="120" w:after="120"/>
              <w:rPr>
                <w:b w:val="0"/>
                <w:w w:val="95"/>
                <w:sz w:val="18"/>
              </w:rPr>
            </w:pPr>
            <w:r w:rsidRPr="008A210B">
              <w:rPr>
                <w:b w:val="0"/>
                <w:w w:val="95"/>
                <w:sz w:val="18"/>
              </w:rPr>
              <w:t>Non-slip rubber feet are fitted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9728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45144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947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A210B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A210B" w:rsidRPr="008A210B" w:rsidRDefault="008A210B" w:rsidP="008A210B">
            <w:pPr>
              <w:pStyle w:val="TableParagraph"/>
              <w:spacing w:before="120" w:after="120"/>
              <w:rPr>
                <w:b w:val="0"/>
                <w:w w:val="95"/>
                <w:sz w:val="18"/>
              </w:rPr>
            </w:pPr>
            <w:r w:rsidRPr="008A210B">
              <w:rPr>
                <w:b w:val="0"/>
                <w:w w:val="95"/>
                <w:sz w:val="18"/>
              </w:rPr>
              <w:t>Work platforms are used for access to work at height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7245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8380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8749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A210B" w:rsidRPr="00036484" w:rsidRDefault="008A210B" w:rsidP="008A210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EF1250" w:rsidRDefault="008A210B" w:rsidP="00EF1250">
      <w:pPr>
        <w:pStyle w:val="Heading2"/>
      </w:pPr>
      <w:r w:rsidRPr="00587DFF">
        <w:t xml:space="preserve"> </w:t>
      </w:r>
      <w:bookmarkEnd w:id="0"/>
      <w:bookmarkEnd w:id="1"/>
      <w:bookmarkEnd w:id="2"/>
      <w:bookmarkEnd w:id="3"/>
      <w:bookmarkEnd w:id="4"/>
      <w:bookmarkEnd w:id="6"/>
      <w:bookmarkEnd w:id="7"/>
      <w:bookmarkEnd w:id="8"/>
      <w:r w:rsidR="00EF1250">
        <w:t>SERVICE PITS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EF1250" w:rsidRPr="005A33C9" w:rsidTr="00EA4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EF1250" w:rsidRPr="005A33C9" w:rsidRDefault="00EF1250" w:rsidP="00EA4C24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EF1250" w:rsidRPr="005A33C9" w:rsidRDefault="00EF1250" w:rsidP="00EA4C24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EF1250" w:rsidRPr="005A33C9" w:rsidRDefault="00EF1250" w:rsidP="00EA4C24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EF1250" w:rsidRPr="005A33C9" w:rsidRDefault="00EF1250" w:rsidP="00EA4C24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EF1250" w:rsidRPr="00036484" w:rsidTr="00EA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Multi-purpose hoists/elevated ramps are used (so work is done overhead, not in a service pit)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0982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A4C24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9553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A4C24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5623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A4C24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EF1250" w:rsidRPr="00EF1250" w:rsidRDefault="00EF1250" w:rsidP="00EA4C24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Pit interiors are painted white and the edges outlined in a conspicuous colour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7215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A4C24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3651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A4C24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8224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A4C24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Pits guarded/chained as fall protection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1871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A4C24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32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A4C24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0152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A4C24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Pits are covered when not in use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0850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7716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8855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Adequate ventilation is provided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2509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0625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363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Lighting is safe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5000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3117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3429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lastRenderedPageBreak/>
              <w:t>Explosion/fire risks are assessed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0796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0615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6533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Work involving welding and oxy cutting is avoided inside or adjacent to pits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53019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8393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4186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EF1250" w:rsidRPr="00860BDD" w:rsidRDefault="00EF1250" w:rsidP="00EF1250">
      <w:pPr>
        <w:pStyle w:val="Heading2"/>
        <w:spacing w:before="480" w:after="240"/>
      </w:pPr>
      <w:r>
        <w:t>STORAGE AND RACKING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EF1250" w:rsidRPr="005A33C9" w:rsidTr="00EA4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EF1250" w:rsidRPr="005A33C9" w:rsidRDefault="00EF1250" w:rsidP="00EA4C24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EF1250" w:rsidRPr="005A33C9" w:rsidRDefault="00EF1250" w:rsidP="00EA4C24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EF1250" w:rsidRPr="005A33C9" w:rsidRDefault="00EF1250" w:rsidP="00EA4C24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EF1250" w:rsidRPr="005A33C9" w:rsidRDefault="00EF1250" w:rsidP="00EA4C24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EF1250" w:rsidRPr="00036484" w:rsidTr="00EA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Materials are stored to minimise lifting and enable good manual handling practices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8503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0348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8846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Parts are stored in appropriate areas with racking, shelves etc.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8196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1161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925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Limits are followed on layered/pyramid stacking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3108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7151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943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Tools and equipment are stored safely, and returned to storage when not in use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5802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15010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8177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Shelving is in good condition, stable and securely fixed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3571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6693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6895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Shelving is not overloaded or overstacked (as per certified load ratings)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2985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7422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350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Industrial use, A-frame platform ladders are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9129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6083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0185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Mobile access platforms are used to access stock above shoulder height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13740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5305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9380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All materials are stored to prevent falling, are free from projections and sharp edges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7026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2700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2523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Overhead/mezzanine storage has guard rails/kickboards and purpose-built stair access with hand rail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3621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3329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6764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Overhead/mezzanine storage is designed for load-bearing purposes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6576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3781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0283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Mechanical aids are used to lift stock to mezzanine levels or above-shoulder-height storage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8958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7385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2366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Tyres and wheels are rolled, or mechanical aids are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9020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910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8354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F1250" w:rsidRPr="00036484" w:rsidTr="00EA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EF1250" w:rsidRPr="00EF1250" w:rsidRDefault="00EF1250" w:rsidP="00EF125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EF1250">
              <w:rPr>
                <w:rFonts w:asciiTheme="minorHAnsi" w:hAnsiTheme="minorHAnsi" w:cstheme="minorHAnsi"/>
                <w:b w:val="0"/>
                <w:w w:val="95"/>
                <w:sz w:val="20"/>
              </w:rPr>
              <w:t>Tyres/parts are stored in stillages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56947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7999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19512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EF1250" w:rsidRPr="00036484" w:rsidRDefault="00EF1250" w:rsidP="00EF125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F13DC1" w:rsidRDefault="00F13DC1" w:rsidP="00EF4C05">
      <w:pPr>
        <w:pStyle w:val="BodyText"/>
      </w:pPr>
    </w:p>
    <w:sectPr w:rsidR="00F13DC1" w:rsidSect="004A1BE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E0" w:rsidRDefault="001347E0" w:rsidP="00185154">
      <w:r>
        <w:separator/>
      </w:r>
    </w:p>
    <w:p w:rsidR="001347E0" w:rsidRDefault="001347E0"/>
  </w:endnote>
  <w:endnote w:type="continuationSeparator" w:id="0">
    <w:p w:rsidR="001347E0" w:rsidRDefault="001347E0" w:rsidP="00185154">
      <w:r>
        <w:continuationSeparator/>
      </w:r>
    </w:p>
    <w:p w:rsidR="001347E0" w:rsidRDefault="00134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E0" w:rsidRPr="00935B12" w:rsidRDefault="001347E0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:rsidR="001347E0" w:rsidRPr="00E560D4" w:rsidRDefault="001347E0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E0" w:rsidRDefault="001347E0" w:rsidP="00185154">
      <w:r>
        <w:separator/>
      </w:r>
    </w:p>
    <w:p w:rsidR="001347E0" w:rsidRDefault="001347E0"/>
  </w:footnote>
  <w:footnote w:type="continuationSeparator" w:id="0">
    <w:p w:rsidR="001347E0" w:rsidRDefault="001347E0" w:rsidP="00185154">
      <w:r>
        <w:continuationSeparator/>
      </w:r>
    </w:p>
    <w:p w:rsidR="001347E0" w:rsidRDefault="001347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E0" w:rsidRDefault="00B71F20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E0" w:rsidRDefault="00B71F20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484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1A73"/>
    <w:rsid w:val="0013218E"/>
    <w:rsid w:val="00132493"/>
    <w:rsid w:val="001341EC"/>
    <w:rsid w:val="00134511"/>
    <w:rsid w:val="001347E0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A4DBD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536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382A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61B4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4869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87DFF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3661"/>
    <w:rsid w:val="00883ED7"/>
    <w:rsid w:val="00884517"/>
    <w:rsid w:val="0088760E"/>
    <w:rsid w:val="00890DC4"/>
    <w:rsid w:val="00892496"/>
    <w:rsid w:val="008A19D3"/>
    <w:rsid w:val="008A210B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4FB8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3A0A"/>
    <w:rsid w:val="00B54F84"/>
    <w:rsid w:val="00B55D18"/>
    <w:rsid w:val="00B56CC8"/>
    <w:rsid w:val="00B65281"/>
    <w:rsid w:val="00B668FB"/>
    <w:rsid w:val="00B71658"/>
    <w:rsid w:val="00B71F20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0695A"/>
    <w:rsid w:val="00C10095"/>
    <w:rsid w:val="00C1112D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3282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125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3DC1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452D6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788292EE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52D6"/>
    <w:pPr>
      <w:spacing w:before="0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452D6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883661"/>
    <w:pPr>
      <w:spacing w:before="60" w:after="60"/>
      <w:ind w:left="57" w:right="57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52D6"/>
    <w:pPr>
      <w:widowControl w:val="0"/>
      <w:autoSpaceDE w:val="0"/>
      <w:autoSpaceDN w:val="0"/>
      <w:spacing w:before="0" w:after="0" w:line="240" w:lineRule="auto"/>
    </w:pPr>
    <w:rPr>
      <w:rFonts w:ascii="Lucida Sans" w:eastAsia="Lucida Sans" w:hAnsi="Lucida Sans" w:cs="Lucida Sans"/>
      <w:lang w:bidi="en-US"/>
    </w:rPr>
  </w:style>
  <w:style w:type="table" w:styleId="ListTable3-Accent3">
    <w:name w:val="List Table 3 Accent 3"/>
    <w:basedOn w:val="TableNormal"/>
    <w:uiPriority w:val="48"/>
    <w:rsid w:val="00F452D6"/>
    <w:pPr>
      <w:spacing w:after="0"/>
    </w:pPr>
    <w:tblPr>
      <w:tblStyleRowBandSize w:val="1"/>
      <w:tblStyleColBandSize w:val="1"/>
      <w:tblBorders>
        <w:top w:val="single" w:sz="4" w:space="0" w:color="187FC3" w:themeColor="accent3"/>
        <w:left w:val="single" w:sz="4" w:space="0" w:color="187FC3" w:themeColor="accent3"/>
        <w:bottom w:val="single" w:sz="4" w:space="0" w:color="187FC3" w:themeColor="accent3"/>
        <w:right w:val="single" w:sz="4" w:space="0" w:color="187F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7FC3" w:themeFill="accent3"/>
      </w:tcPr>
    </w:tblStylePr>
    <w:tblStylePr w:type="lastRow">
      <w:rPr>
        <w:b/>
        <w:bCs/>
      </w:rPr>
      <w:tblPr/>
      <w:tcPr>
        <w:tcBorders>
          <w:top w:val="double" w:sz="4" w:space="0" w:color="187F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7FC3" w:themeColor="accent3"/>
          <w:right w:val="single" w:sz="4" w:space="0" w:color="187FC3" w:themeColor="accent3"/>
        </w:tcBorders>
      </w:tcPr>
    </w:tblStylePr>
    <w:tblStylePr w:type="band1Horz">
      <w:tblPr/>
      <w:tcPr>
        <w:tcBorders>
          <w:top w:val="single" w:sz="4" w:space="0" w:color="187FC3" w:themeColor="accent3"/>
          <w:bottom w:val="single" w:sz="4" w:space="0" w:color="187F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7FC3" w:themeColor="accent3"/>
          <w:left w:val="nil"/>
        </w:tcBorders>
      </w:tcPr>
    </w:tblStylePr>
    <w:tblStylePr w:type="swCell">
      <w:tblPr/>
      <w:tcPr>
        <w:tcBorders>
          <w:top w:val="double" w:sz="4" w:space="0" w:color="187FC3" w:themeColor="accent3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883661"/>
    <w:pPr>
      <w:spacing w:after="0"/>
    </w:pPr>
    <w:tblPr>
      <w:tblStyleRowBandSize w:val="1"/>
      <w:tblStyleColBandSize w:val="1"/>
      <w:tblBorders>
        <w:top w:val="single" w:sz="4" w:space="0" w:color="E3EFF7" w:themeColor="accent6" w:themeTint="99"/>
        <w:bottom w:val="single" w:sz="4" w:space="0" w:color="E3EFF7" w:themeColor="accent6" w:themeTint="99"/>
        <w:insideH w:val="single" w:sz="4" w:space="0" w:color="E3EF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C" w:themeFill="accent6" w:themeFillTint="33"/>
      </w:tcPr>
    </w:tblStylePr>
    <w:tblStylePr w:type="band1Horz">
      <w:tblPr/>
      <w:tcPr>
        <w:shd w:val="clear" w:color="auto" w:fill="F5F9F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440B-8904-46B9-8731-D3C64A9A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Paul Findlay</cp:lastModifiedBy>
  <cp:revision>4</cp:revision>
  <cp:lastPrinted>2019-04-15T02:21:00Z</cp:lastPrinted>
  <dcterms:created xsi:type="dcterms:W3CDTF">2020-07-23T03:03:00Z</dcterms:created>
  <dcterms:modified xsi:type="dcterms:W3CDTF">2020-08-07T06:09:00Z</dcterms:modified>
</cp:coreProperties>
</file>