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611B59">
        <w:t>Health and Wellbeing</w:t>
      </w:r>
    </w:p>
    <w:p w:rsidR="00F452D6" w:rsidRDefault="00F452D6" w:rsidP="00F452D6">
      <w:pPr>
        <w:pStyle w:val="BodyText"/>
      </w:pPr>
      <w:r w:rsidRPr="00F452D6">
        <w:t xml:space="preserve">Use this quick safety scan to look at your </w:t>
      </w:r>
      <w:r w:rsidR="00E04959">
        <w:t>safety systems around health and wellbeing</w:t>
      </w:r>
      <w:r w:rsidRPr="00F452D6">
        <w:t>. Those items where you tick ‘Sometimes’ or ‘Never’ will need action to fix or improve. There is information on the SafeWork SA website that may assist you.</w:t>
      </w:r>
      <w:bookmarkStart w:id="5" w:name="_GoBack"/>
      <w:bookmarkEnd w:id="5"/>
    </w:p>
    <w:p w:rsidR="00B06EE6" w:rsidRDefault="00B06EE6" w:rsidP="00B06EE6">
      <w:pPr>
        <w:pStyle w:val="Heading2"/>
        <w:spacing w:before="480"/>
      </w:pPr>
      <w:r>
        <w:t>PHYSICAL INACTIVITY AND SCREEN TIME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B06EE6" w:rsidRPr="005A33C9" w:rsidTr="009E2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06EE6" w:rsidRPr="005A33C9" w:rsidRDefault="00B06EE6" w:rsidP="009E23D7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B06EE6" w:rsidRPr="005A33C9" w:rsidRDefault="00B06EE6" w:rsidP="009E23D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B06EE6" w:rsidRPr="005A33C9" w:rsidRDefault="00B06EE6" w:rsidP="009E23D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B06EE6" w:rsidRPr="005A33C9" w:rsidRDefault="00B06EE6" w:rsidP="009E23D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B06EE6" w:rsidRPr="00036484" w:rsidTr="009E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740EE9" w:rsidRDefault="00B06EE6" w:rsidP="009E23D7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proofErr w:type="gramStart"/>
            <w:r w:rsidRPr="00740EE9">
              <w:rPr>
                <w:rFonts w:asciiTheme="minorHAnsi" w:hAnsiTheme="minorHAnsi" w:cstheme="minorHAnsi"/>
                <w:b w:val="0"/>
                <w:sz w:val="20"/>
              </w:rPr>
              <w:t>Are work tasks designed</w:t>
            </w:r>
            <w:proofErr w:type="gramEnd"/>
            <w:r w:rsidRPr="00740EE9">
              <w:rPr>
                <w:rFonts w:asciiTheme="minorHAnsi" w:hAnsiTheme="minorHAnsi" w:cstheme="minorHAnsi"/>
                <w:b w:val="0"/>
                <w:sz w:val="20"/>
              </w:rPr>
              <w:t xml:space="preserve"> to include healthy dynamic muscular movement, including large limb and trunk movement to encourage circulation?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7311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247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2714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9E23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740EE9" w:rsidRDefault="00B06EE6" w:rsidP="009E23D7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Are workstations and/or equipment designed to encourage the above?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758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470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91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9E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740EE9" w:rsidRDefault="00B06EE6" w:rsidP="009E23D7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Are tasks designed to encourage frequent eye movement and change of focus?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926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104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941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9E23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740EE9" w:rsidRDefault="00B06EE6" w:rsidP="009E23D7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Are regular walking or stretching breaks an accepted part of the workplace culture?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7698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9621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9571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9E2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740EE9" w:rsidRDefault="00B06EE6" w:rsidP="009E23D7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Is information available on the benefits of activity and regular movement? (e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740EE9">
              <w:rPr>
                <w:rFonts w:asciiTheme="minorHAnsi" w:hAnsiTheme="minorHAnsi" w:cstheme="minorHAnsi"/>
                <w:b w:val="0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740EE9">
              <w:rPr>
                <w:rFonts w:asciiTheme="minorHAnsi" w:hAnsiTheme="minorHAnsi" w:cstheme="minorHAnsi"/>
                <w:b w:val="0"/>
                <w:sz w:val="20"/>
              </w:rPr>
              <w:t xml:space="preserve"> stretching regularly at work)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2326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76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9E23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740EE9" w:rsidRDefault="00B06EE6" w:rsidP="009E23D7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Is information available on local physical activity opportunities?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508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14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8059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9E23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B06EE6" w:rsidRDefault="00B06EE6" w:rsidP="00B06EE6">
      <w:pPr>
        <w:pStyle w:val="Heading2"/>
        <w:spacing w:before="480"/>
      </w:pPr>
      <w:r>
        <w:t>BULLYING AND INAPPROPRIATE BEHAVIOURS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B06EE6" w:rsidRPr="005A33C9" w:rsidTr="00020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06EE6" w:rsidRPr="005A33C9" w:rsidRDefault="00B06EE6" w:rsidP="00020E2E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B06EE6" w:rsidRPr="005A33C9" w:rsidRDefault="00B06EE6" w:rsidP="00020E2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B06EE6" w:rsidRPr="005A33C9" w:rsidRDefault="00B06EE6" w:rsidP="00020E2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B06EE6" w:rsidRPr="005A33C9" w:rsidRDefault="00B06EE6" w:rsidP="00020E2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B06EE6" w:rsidRPr="00036484" w:rsidTr="0002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020E2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A </w:t>
            </w:r>
            <w:r w:rsidRPr="000D74DD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Bullying and Inappropriate Behaviours</w:t>
            </w: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policy has been developed in consultation with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020E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020E2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Workers are aware of the </w:t>
            </w:r>
            <w:r w:rsidRPr="000D74DD">
              <w:rPr>
                <w:rFonts w:asciiTheme="minorHAnsi" w:hAnsiTheme="minorHAnsi" w:cstheme="minorHAnsi"/>
                <w:b w:val="0"/>
                <w:i/>
                <w:w w:val="95"/>
                <w:sz w:val="20"/>
              </w:rPr>
              <w:t>Grievance Resolution Procedure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02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020E2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You have a process for dealing with behaviour related complaints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74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95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020E2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020E2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Educational information and support is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548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5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02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020E2E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An employee assistance program (EAP) is available to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662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17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020E2E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B06EE6" w:rsidRDefault="00B06EE6" w:rsidP="00B06EE6">
      <w:pPr>
        <w:pStyle w:val="Heading2"/>
        <w:spacing w:before="480"/>
      </w:pPr>
      <w:r>
        <w:t>WORK RELATED STRESS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B06EE6" w:rsidRPr="005A33C9" w:rsidTr="00AC7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06EE6" w:rsidRPr="005A33C9" w:rsidRDefault="00B06EE6" w:rsidP="00AC75A6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B06EE6" w:rsidRPr="005A33C9" w:rsidRDefault="00B06EE6" w:rsidP="00AC75A6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B06EE6" w:rsidRPr="005A33C9" w:rsidRDefault="00B06EE6" w:rsidP="00AC75A6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B06EE6" w:rsidRPr="005A33C9" w:rsidRDefault="00B06EE6" w:rsidP="00AC75A6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B06EE6" w:rsidRPr="00036484" w:rsidTr="00AC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AC75A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Work-related stress risks have been assessed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498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268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843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AC7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AC75A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Strategies/policies are in place to handle risks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2934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949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38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AC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AC75A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Educational information and support is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041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2734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9137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AC75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AC75A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An employee assistance program (EAP) is available to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016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2206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246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AC75A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764400" w:rsidRPr="00860BDD" w:rsidRDefault="00764400" w:rsidP="00764400">
      <w:pPr>
        <w:pStyle w:val="Heading2"/>
        <w:spacing w:before="480" w:after="240"/>
      </w:pPr>
      <w:bookmarkStart w:id="6" w:name="_Toc7188663"/>
      <w:bookmarkStart w:id="7" w:name="_Toc7613011"/>
      <w:bookmarkStart w:id="8" w:name="_Toc479596899"/>
      <w:r>
        <w:t>MENTAL HEALTH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764400" w:rsidRPr="005A33C9" w:rsidTr="006E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764400" w:rsidRPr="005A33C9" w:rsidRDefault="00764400" w:rsidP="006E711E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764400" w:rsidRPr="005A33C9" w:rsidRDefault="00764400" w:rsidP="006E711E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764400" w:rsidRPr="00036484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Does the workplace encourage a culture where work-related stresses and struggles can be discussed in an open and supportive/constructive manner?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174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819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369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 workers indicate that they are able to cope with the demands of the job?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2729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297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755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Have you provided sufficient support to your workers? (e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="00D84068">
              <w:rPr>
                <w:rFonts w:asciiTheme="minorHAnsi" w:hAnsiTheme="minorHAnsi" w:cstheme="minorHAnsi"/>
                <w:b w:val="0"/>
                <w:w w:val="95"/>
                <w:sz w:val="20"/>
              </w:rPr>
              <w:t> </w:t>
            </w: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management, training, coaching)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0137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981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6894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 you provide workers with opportunities to have a say about the way they do their job?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6862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757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8768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 you educate staff in relation to acceptable behaviours and how to report unacceptable behaviours?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094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6172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768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Have you clarified job descriptions appropriately so workers understand their role?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8506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242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233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Have you communicated and managed any business changes effectively?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554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0210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3489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 you promote a fair and positive work environment?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707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279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037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64400" w:rsidRPr="00036484" w:rsidRDefault="00764400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 you recognise and reward workers efforts?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900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0168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901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Do you monitor workers for signs of fatigue and take appropriate action to address risk factors?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509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2706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8596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64400" w:rsidRPr="00036484" w:rsidTr="00C8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64400" w:rsidRPr="00764400" w:rsidRDefault="00764400" w:rsidP="00764400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Is coaching available for those suffering from work stress? (e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.</w:t>
            </w: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 Employee Assistance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</w:t>
            </w: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Program 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(EAP) </w:t>
            </w:r>
            <w:r w:rsidRPr="00764400">
              <w:rPr>
                <w:rFonts w:asciiTheme="minorHAnsi" w:hAnsiTheme="minorHAnsi" w:cstheme="minorHAnsi"/>
                <w:b w:val="0"/>
                <w:w w:val="95"/>
                <w:sz w:val="20"/>
              </w:rPr>
              <w:t>that allows workers to access counselling confidentially that the employer pays for)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0389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974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5444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64400" w:rsidRDefault="00D84068" w:rsidP="0076440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D84068" w:rsidRDefault="00D84068" w:rsidP="00D84068">
      <w:pPr>
        <w:pStyle w:val="BodyText"/>
        <w:rPr>
          <w:rFonts w:asciiTheme="majorHAnsi" w:hAnsiTheme="majorHAnsi" w:cs="Arial"/>
          <w:color w:val="0070C0"/>
          <w:sz w:val="24"/>
          <w:szCs w:val="28"/>
        </w:rPr>
      </w:pPr>
      <w:r>
        <w:br w:type="page"/>
      </w:r>
    </w:p>
    <w:p w:rsidR="00980955" w:rsidRDefault="00980955" w:rsidP="00980955">
      <w:pPr>
        <w:pStyle w:val="Heading2"/>
        <w:spacing w:before="480"/>
      </w:pPr>
      <w:r>
        <w:lastRenderedPageBreak/>
        <w:t>FATIGUE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980955" w:rsidRPr="005A33C9" w:rsidTr="00AF0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80955" w:rsidRPr="005A33C9" w:rsidRDefault="00980955" w:rsidP="00AF04C3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980955" w:rsidRPr="005A33C9" w:rsidRDefault="00980955" w:rsidP="00AF04C3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980955" w:rsidRPr="005A33C9" w:rsidRDefault="00980955" w:rsidP="00AF04C3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980955" w:rsidRPr="005A33C9" w:rsidRDefault="00980955" w:rsidP="00AF04C3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980955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AF04C3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Fatigue risks have been assessed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78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16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43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AF04C3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Strategies/policies are in place to handle risks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4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6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AF04C3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Fatigued workers are given time off work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99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3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AF04C3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Rosters allow for adequate recovery time between shifts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51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4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43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AF04C3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B06EE6" w:rsidRDefault="00B06EE6" w:rsidP="00B06EE6">
      <w:pPr>
        <w:pStyle w:val="Heading2"/>
        <w:spacing w:before="480"/>
      </w:pPr>
      <w:r>
        <w:t>UNHEALTHY FOOD AND DRINK HABITS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B06EE6" w:rsidRPr="005A33C9" w:rsidTr="00FA7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06EE6" w:rsidRPr="005A33C9" w:rsidRDefault="00B06EE6" w:rsidP="00FA7A79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B06EE6" w:rsidRPr="005A33C9" w:rsidRDefault="00B06EE6" w:rsidP="00FA7A79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B06EE6" w:rsidRPr="005A33C9" w:rsidRDefault="00B06EE6" w:rsidP="00FA7A79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B06EE6" w:rsidRPr="005A33C9" w:rsidRDefault="00B06EE6" w:rsidP="00FA7A79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B06EE6" w:rsidRPr="00036484" w:rsidTr="00FA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 xml:space="preserve">Healthy food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and drink </w:t>
            </w:r>
            <w:r w:rsidRPr="00611B59">
              <w:rPr>
                <w:rFonts w:asciiTheme="minorHAnsi" w:hAnsiTheme="minorHAnsi" w:cstheme="minorHAnsi"/>
                <w:b w:val="0"/>
                <w:sz w:val="20"/>
              </w:rPr>
              <w:t>choices are offered in the workplace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726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629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771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sz w:val="20"/>
              </w:rPr>
            </w:pPr>
            <w:r w:rsidRPr="00B94F75">
              <w:rPr>
                <w:rFonts w:asciiTheme="minorHAnsi" w:hAnsiTheme="minorHAnsi" w:cstheme="minorHAnsi"/>
                <w:b w:val="0"/>
                <w:sz w:val="20"/>
              </w:rPr>
              <w:t>Are facilities available for staff to bring healthy food from home and eat it at work? (e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B94F75">
              <w:rPr>
                <w:rFonts w:asciiTheme="minorHAnsi" w:hAnsiTheme="minorHAnsi" w:cstheme="minorHAnsi"/>
                <w:b w:val="0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B94F75">
              <w:rPr>
                <w:rFonts w:asciiTheme="minorHAnsi" w:hAnsiTheme="minorHAnsi" w:cstheme="minorHAnsi"/>
                <w:b w:val="0"/>
                <w:sz w:val="20"/>
              </w:rPr>
              <w:t xml:space="preserve"> cooler bags, fridge, cutlery)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4652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823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2733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B94F75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Is there easy access to healthy food and drink at work and shops near work?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790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638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5102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Workers are supported to participate in regular physical activity through promotion, education and access to physical activity and involvement opportunities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014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7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64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lastRenderedPageBreak/>
              <w:t>Worker wellbeing is supported and promoted through work practices, a positive workplace culture and leadership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39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14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72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Educational and information support programs are provided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599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4931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8413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611B59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B94F75">
              <w:rPr>
                <w:rFonts w:asciiTheme="minorHAnsi" w:hAnsiTheme="minorHAnsi" w:cstheme="minorHAnsi"/>
                <w:b w:val="0"/>
                <w:sz w:val="20"/>
              </w:rPr>
              <w:t>Is there a policy for safe working in heat that encourages drinking water?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34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986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09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06EE6" w:rsidRPr="00036484" w:rsidTr="00FA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B06EE6" w:rsidRPr="00B94F75" w:rsidRDefault="00B06EE6" w:rsidP="00FA7A79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sz w:val="20"/>
              </w:rPr>
              <w:t>Is information available on healthy eating and drinking to manage fatigue and stay fit for work?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8943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2491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865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06EE6" w:rsidRPr="00036484" w:rsidRDefault="00B06EE6" w:rsidP="00FA7A7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7E4674" w:rsidRDefault="007E4674" w:rsidP="00B06EE6">
      <w:pPr>
        <w:pStyle w:val="BodyText"/>
      </w:pPr>
    </w:p>
    <w:p w:rsidR="007E4674" w:rsidRDefault="007E4674">
      <w:pPr>
        <w:spacing w:before="80" w:after="80" w:line="240" w:lineRule="auto"/>
        <w:rPr>
          <w:rFonts w:eastAsia="Times New Roman" w:cs="Times New Roman"/>
          <w:szCs w:val="24"/>
          <w:lang w:eastAsia="en-AU"/>
        </w:rPr>
      </w:pPr>
      <w:r>
        <w:br w:type="page"/>
      </w:r>
    </w:p>
    <w:p w:rsidR="00980955" w:rsidRDefault="00980955" w:rsidP="00980955">
      <w:pPr>
        <w:pStyle w:val="Heading2"/>
        <w:spacing w:before="480"/>
      </w:pPr>
      <w:r>
        <w:t>SMOKING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980955" w:rsidRPr="005A33C9" w:rsidTr="00F2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980955" w:rsidRPr="005A33C9" w:rsidRDefault="00980955" w:rsidP="00F24DD1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980955" w:rsidRPr="005A33C9" w:rsidRDefault="00980955" w:rsidP="00F24DD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980955" w:rsidRPr="005A33C9" w:rsidRDefault="00980955" w:rsidP="00F24DD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980955" w:rsidRPr="005A33C9" w:rsidRDefault="00980955" w:rsidP="00F24DD1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980955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F24DD1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A smoke-free workplace policy has been developed in consultation with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26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922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867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F24DD1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The policy is easily accessible in the workplace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9630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40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914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F24DD1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You have designated outdoor smoking areas that smokers keep clean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983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69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49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F24DD1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Is smoking prohibited in work vehicles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4775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202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89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F24DD1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‘No smoking’ signage is in 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089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57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534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80955" w:rsidRPr="00036484" w:rsidTr="009809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980955" w:rsidRPr="00611B59" w:rsidRDefault="00980955" w:rsidP="00F24DD1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‘Quit’ information and support is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276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0096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445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980955" w:rsidRPr="00036484" w:rsidRDefault="00980955" w:rsidP="00F24DD1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112D38" w:rsidRPr="00860BDD" w:rsidRDefault="00611B59" w:rsidP="00A46844">
      <w:pPr>
        <w:pStyle w:val="Heading2"/>
        <w:spacing w:before="480" w:after="240"/>
      </w:pPr>
      <w:r>
        <w:t>ALCOHOL</w:t>
      </w:r>
      <w:r w:rsidR="000D74DD">
        <w:t xml:space="preserve"> AND OTHER DRUGS</w:t>
      </w:r>
      <w:r>
        <w:t xml:space="preserve"> / FITNESS FOR WORK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611B59" w:rsidRPr="00036484" w:rsidTr="00D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11B59" w:rsidRPr="00611B59" w:rsidRDefault="000D74DD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>You have an</w:t>
            </w:r>
            <w:r w:rsidR="00611B59"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Alcohol</w:t>
            </w:r>
            <w:r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and Other Drugs</w:t>
            </w:r>
            <w:r w:rsidR="00611B59"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 xml:space="preserve"> / Fitness for Work policy, developed in consultation with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11B59" w:rsidRPr="00036484" w:rsidTr="00B06E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11B59" w:rsidRPr="00611B59" w:rsidRDefault="00611B5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The policy is displayed in the workplace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11B59" w:rsidRPr="00036484" w:rsidTr="00B06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11B59" w:rsidRPr="00611B59" w:rsidRDefault="00611B5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have read, understood and signed the documentation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11B59" w:rsidRPr="00036484" w:rsidTr="00B06EE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11B59" w:rsidRPr="00611B59" w:rsidRDefault="00611B5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Educational information and support programs are provided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11B59" w:rsidRPr="00036484" w:rsidTr="00D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611B59" w:rsidRPr="00611B59" w:rsidRDefault="00611B5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If alcohol is allowed at work functions, you provide food and low alcohol/non-alcoholic alternatives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611B59" w:rsidRPr="00036484" w:rsidRDefault="00611B59" w:rsidP="00611B5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40EE9" w:rsidRPr="00036484" w:rsidTr="00D84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40EE9" w:rsidRPr="00611B59" w:rsidRDefault="00740EE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w w:val="95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w w:val="95"/>
                <w:sz w:val="20"/>
              </w:rPr>
              <w:t>Does your work provide support for isolated workers who have extended separation from family or friends?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5298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2581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005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40EE9" w:rsidRPr="00036484" w:rsidTr="00D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40EE9" w:rsidRPr="00740EE9" w:rsidRDefault="00740EE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740EE9">
              <w:rPr>
                <w:rFonts w:asciiTheme="minorHAnsi" w:hAnsiTheme="minorHAnsi" w:cstheme="minorHAnsi"/>
                <w:b w:val="0"/>
                <w:w w:val="95"/>
                <w:sz w:val="20"/>
              </w:rPr>
              <w:t>Do you promote safe consumption of alcohol messages and the use of support services such as the Alcohol and Drug Information Service (ADIS)?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6259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823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42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40EE9" w:rsidRPr="00036484" w:rsidTr="00D84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Align w:val="center"/>
          </w:tcPr>
          <w:p w:rsidR="00740EE9" w:rsidRPr="00611B59" w:rsidRDefault="00740EE9" w:rsidP="00D84068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w w:val="95"/>
                <w:sz w:val="20"/>
              </w:rPr>
              <w:t>Alternative travel arrangements are provided for workers affected by alcohol/drugs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207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0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392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vAlign w:val="center"/>
              </w:tcPr>
              <w:p w:rsidR="00740EE9" w:rsidRPr="00036484" w:rsidRDefault="00740EE9" w:rsidP="00740EE9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bookmarkEnd w:id="0"/>
    <w:bookmarkEnd w:id="1"/>
    <w:bookmarkEnd w:id="2"/>
    <w:bookmarkEnd w:id="3"/>
    <w:bookmarkEnd w:id="4"/>
    <w:bookmarkEnd w:id="6"/>
    <w:bookmarkEnd w:id="7"/>
    <w:bookmarkEnd w:id="8"/>
    <w:p w:rsidR="007E4674" w:rsidRDefault="007E4674" w:rsidP="007E4674">
      <w:pPr>
        <w:pStyle w:val="Heading2"/>
        <w:spacing w:before="480"/>
      </w:pPr>
      <w:r>
        <w:t>WORK RELATED VIOLENCE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7E4674" w:rsidRPr="005A33C9" w:rsidTr="00113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7E4674" w:rsidRPr="005A33C9" w:rsidRDefault="007E4674" w:rsidP="00113586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7E4674" w:rsidRPr="005A33C9" w:rsidRDefault="007E4674" w:rsidP="00113586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7E4674" w:rsidRPr="005A33C9" w:rsidRDefault="007E4674" w:rsidP="00113586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7E4674" w:rsidRPr="005A33C9" w:rsidRDefault="007E4674" w:rsidP="00113586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7E4674" w:rsidRPr="00036484" w:rsidTr="00113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7E4674" w:rsidRPr="00611B59" w:rsidRDefault="007E4674" w:rsidP="0011358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Work-related violence risks have been assessed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344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7948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9750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4674" w:rsidRPr="00036484" w:rsidTr="001135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7E4674" w:rsidRPr="00611B59" w:rsidRDefault="007E4674" w:rsidP="0011358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Strategies/policies are in place to handle incidents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62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43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310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4674" w:rsidRPr="00036484" w:rsidTr="00113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7E4674" w:rsidRPr="00611B59" w:rsidRDefault="007E4674" w:rsidP="0011358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Educational information and support is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0175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853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2306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E4674" w:rsidRPr="00036484" w:rsidTr="0011358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vAlign w:val="center"/>
          </w:tcPr>
          <w:p w:rsidR="007E4674" w:rsidRPr="00611B59" w:rsidRDefault="007E4674" w:rsidP="00113586">
            <w:pPr>
              <w:pStyle w:val="TableParagraph"/>
              <w:spacing w:before="120" w:after="120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11B59">
              <w:rPr>
                <w:rFonts w:asciiTheme="minorHAnsi" w:hAnsiTheme="minorHAnsi" w:cstheme="minorHAnsi"/>
                <w:b w:val="0"/>
                <w:sz w:val="20"/>
              </w:rPr>
              <w:t>An employee assistance program is available to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288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808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3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7E4674" w:rsidRPr="00036484" w:rsidRDefault="007E4674" w:rsidP="00113586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980955" w:rsidRDefault="00980955">
      <w:pPr>
        <w:pStyle w:val="BodyText"/>
      </w:pPr>
    </w:p>
    <w:sectPr w:rsidR="00980955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7E4674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7E4674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D74DD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1B59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0EE9"/>
    <w:rsid w:val="0074150A"/>
    <w:rsid w:val="00743405"/>
    <w:rsid w:val="00755D25"/>
    <w:rsid w:val="007617C3"/>
    <w:rsid w:val="00762368"/>
    <w:rsid w:val="007625D2"/>
    <w:rsid w:val="0076306E"/>
    <w:rsid w:val="00764400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674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0955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EE6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94F75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4328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4068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4959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472F9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0EAC943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8147-873C-4E3E-A17C-DB0C3A10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Hansen, Kim (DTF)</cp:lastModifiedBy>
  <cp:revision>7</cp:revision>
  <cp:lastPrinted>2019-04-15T02:21:00Z</cp:lastPrinted>
  <dcterms:created xsi:type="dcterms:W3CDTF">2020-07-23T08:23:00Z</dcterms:created>
  <dcterms:modified xsi:type="dcterms:W3CDTF">2021-04-13T00:28:00Z</dcterms:modified>
</cp:coreProperties>
</file>