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1347E0">
        <w:t>Machinery and Equipment</w:t>
      </w:r>
      <w:r w:rsidR="00F13DC1">
        <w:t xml:space="preserve"> in the Automotive Workshop</w:t>
      </w:r>
    </w:p>
    <w:p w:rsidR="0093148A" w:rsidRPr="00F452D6" w:rsidRDefault="0093148A" w:rsidP="0093148A">
      <w:pPr>
        <w:pStyle w:val="BodyText"/>
      </w:pPr>
      <w:r w:rsidRPr="00F452D6">
        <w:t>Use this q</w:t>
      </w:r>
      <w:r>
        <w:t>uick safety scan to look at your saf</w:t>
      </w:r>
      <w:r w:rsidR="004E5615">
        <w:t>ety systems and practices to manage hazards from</w:t>
      </w:r>
      <w:r>
        <w:t xml:space="preserve"> machinery and equipment. </w:t>
      </w:r>
      <w:r w:rsidRPr="00F452D6">
        <w:t xml:space="preserve">Those items where you tick ‘Sometimes’ or ‘Never’ will need action to fix or </w:t>
      </w:r>
      <w:r>
        <w:t>improve. The documents in italics are on the SafeWork SA website</w:t>
      </w:r>
      <w:r w:rsidRPr="00F452D6">
        <w:t>.</w:t>
      </w:r>
    </w:p>
    <w:p w:rsidR="008E2311" w:rsidRPr="00860BDD" w:rsidRDefault="008E2311" w:rsidP="00AE030E">
      <w:pPr>
        <w:pStyle w:val="Heading2"/>
      </w:pPr>
      <w:bookmarkStart w:id="5" w:name="_Toc7188663"/>
      <w:bookmarkStart w:id="6" w:name="_Toc7613011"/>
      <w:bookmarkStart w:id="7" w:name="_Toc479596899"/>
      <w:r>
        <w:t>EQUIPMENT, MACHINERY AND TOOLS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8E2311" w:rsidRPr="005A33C9" w:rsidTr="008E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E2311" w:rsidRPr="005A33C9" w:rsidRDefault="008E2311" w:rsidP="008E23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Is the correct equipment always used for each job?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159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0242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371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Are all tools and machinery properly guarded?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715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035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9238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stop/start switches clearly marked and positioned within easy reach of the operator?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911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366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063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operators trained to use the tools, equipment and machinery safely?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733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237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472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Do operators hold current licences to perform work that requires certification?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983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724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0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Has provision been made to safely store or dispose of waste off-cuts?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3588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2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232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Is there enough work space around machinery?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3849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157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0722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Are tools, equipment and machinery regularly maintained? 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br/>
              <w:t>(in accordance with manufacturer’s instructions)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486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2834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795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Is there a process to ensure that tools and machinery are switched off before maintenance and cleaning is carried out and cannot be inadvertently started by other workers during maintenance 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br/>
              <w:t>and cleaning?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7947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703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644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Are unsafe or faulty tools, equipment or machinery reported immediately?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399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495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666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Are unsafe or faulty tools, equipment or machinery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tagged out, removed from use 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until they are repaired or replaced?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0723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2982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027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Is there a dedicated area where unsafe or faulty tools are placed?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399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6137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306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repairs always carried out by authorised and competent persons?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6853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6262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2432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health and safety risks considered before modification or alteration of any tools, equipment or machinery?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121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55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187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E2311" w:rsidRPr="00860BDD" w:rsidRDefault="008E2311" w:rsidP="00AE030E">
      <w:pPr>
        <w:pStyle w:val="Heading2"/>
      </w:pPr>
      <w:r>
        <w:lastRenderedPageBreak/>
        <w:t>MOVING AROUND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8E2311" w:rsidRPr="005A33C9" w:rsidTr="008E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8E2311" w:rsidRPr="005A33C9" w:rsidRDefault="008E2311" w:rsidP="008E23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E2311" w:rsidRPr="005A33C9" w:rsidRDefault="008E2311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Have you made sure people cannot slip or trip when they move around?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on oil, grease, water, leads, hoses, cables)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741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861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9487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Have appropriate fall prevention methods been implemented for all tasks that are undertaken at height?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guard rails, scaffolds, harness systems)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1979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34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8695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E2311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8E2311" w:rsidRPr="008E2311" w:rsidRDefault="008E2311" w:rsidP="008E2311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Can traffic and people move safely around the worksite? (</w:t>
            </w:r>
            <w:proofErr w:type="gramStart"/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e</w:t>
            </w:r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proofErr w:type="gramEnd"/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walkways clearly marked, barriers to separate vehicles from walkways, unobstructed vision at intersections?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31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6884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114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8E2311" w:rsidRPr="00036484" w:rsidRDefault="008E2311" w:rsidP="008E231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263AD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w w:val="95"/>
                <w:sz w:val="20"/>
              </w:rPr>
            </w:pPr>
            <w:bookmarkStart w:id="8" w:name="_GoBack" w:colFirst="1" w:colLast="1"/>
            <w:r>
              <w:rPr>
                <w:rFonts w:asciiTheme="minorHAnsi" w:hAnsiTheme="minorHAnsi" w:cstheme="minorHAnsi"/>
                <w:w w:val="95"/>
                <w:sz w:val="20"/>
              </w:rPr>
              <w:t>Is there enough space to allow free movement while undertaking the task?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7034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002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695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8"/>
      <w:tr w:rsidR="005263AD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Is it easy to get in and out of the workplace safely?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exits clearly marked and unobstructed)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302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535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4329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263AD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stairs, ladders and platforms safe?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fixed handrails, ladders secure when in use, anti-slip treads)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073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451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6237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263AD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vehicle drivers trained and aware of hazards?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7301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849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636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263AD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Do vehicle drivers have safe schedules?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921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08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38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263AD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5263AD" w:rsidRPr="008E2311" w:rsidRDefault="005263AD" w:rsidP="005263A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8E2311">
              <w:rPr>
                <w:rFonts w:asciiTheme="minorHAnsi" w:hAnsiTheme="minorHAnsi" w:cstheme="minorHAnsi"/>
                <w:b w:val="0"/>
                <w:w w:val="95"/>
                <w:sz w:val="20"/>
              </w:rPr>
              <w:t>Are all loads safely secured?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6522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7408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5905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263AD" w:rsidRPr="00036484" w:rsidRDefault="005263AD" w:rsidP="005263A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112D38" w:rsidRPr="00860BDD" w:rsidRDefault="001347E0" w:rsidP="00AE030E">
      <w:pPr>
        <w:pStyle w:val="Heading2"/>
      </w:pPr>
      <w:r>
        <w:t>ANGLE GRINDERS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conduct pre-operational checks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Handgrips have an automatic cut-off or dead-man switch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Grinders have adjustable handles to suit both left and right-handed operators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Guards are kept in place (covering half the disc and positioned between the disc and the operator)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Correct types of disc are used for tasks performed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Operators are trained/instructed in </w:t>
            </w:r>
            <w:r w:rsidRPr="008E2311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 xml:space="preserve">Safe Work Procedures 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(SWP)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106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353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062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Grinders are not used close to flammable materials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2974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4489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506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Plugs are removed from power points before changing discs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323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614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7868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Regular short breaks are taken to prevent muscle fatigue when grinding for extended periods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52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6482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3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All 9 inch grinders are taken out of service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78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233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5223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3282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B3282" w:rsidRPr="001347E0" w:rsidRDefault="00CB3282" w:rsidP="00CB3282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Other workers are protected by a welding screen or stand well back when someone is grinding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15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9946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326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3282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B3282" w:rsidRPr="001347E0" w:rsidRDefault="00CB3282" w:rsidP="00CB3282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Safe work procedures are in 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286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0170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4793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3282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B3282" w:rsidRPr="001347E0" w:rsidRDefault="00CB3282" w:rsidP="00CB3282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Appropriate PPE is provided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610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811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7624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3282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B3282" w:rsidRPr="001347E0" w:rsidRDefault="00CB3282" w:rsidP="00CB3282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19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138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539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3282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B3282" w:rsidRPr="001347E0" w:rsidRDefault="00CB3282" w:rsidP="00CB3282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95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5281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718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CB3282" w:rsidRPr="00036484" w:rsidRDefault="00CB3282" w:rsidP="00CB3282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83661" w:rsidRDefault="001347E0" w:rsidP="00883661">
      <w:pPr>
        <w:pStyle w:val="Heading2"/>
      </w:pPr>
      <w:r>
        <w:t>COMPRESSORS AND COMPRESSED GASES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Safety Data Sheets (SDS) are available for relevant gases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Cylinders are stored upright, restrained and protected from impact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Regulators and valves are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252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916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2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B56FF6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Safe work procedures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="00B56FF6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(SWP) 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are in 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364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620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18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Air receiver/air tank is registered (if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1344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5294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44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equipment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conduct pre-operational checks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B56FF6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 </w:t>
            </w:r>
            <w:r w:rsidR="00B56FF6" w:rsidRPr="00B56FF6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Hazardous C</w:t>
            </w:r>
            <w:r w:rsidRPr="00B56FF6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 xml:space="preserve">hemical </w:t>
            </w:r>
            <w:r w:rsidR="00B56FF6" w:rsidRPr="00B56FF6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R</w:t>
            </w:r>
            <w:r w:rsidRPr="00B56FF6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egister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is available and is maintained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13DC1" w:rsidRDefault="00CB3282" w:rsidP="00C1112D">
      <w:pPr>
        <w:pStyle w:val="Heading2"/>
      </w:pPr>
      <w:r>
        <w:lastRenderedPageBreak/>
        <w:t>ELECTRICAL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F13DC1" w:rsidRPr="005A33C9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F13DC1" w:rsidRPr="005A33C9" w:rsidRDefault="00F13DC1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13DC1" w:rsidRPr="005A33C9" w:rsidRDefault="00F13DC1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Outlets, plugs, sockets, leads and power points are in good condition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Temp</w:t>
            </w:r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orary extension leads, 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double adaptors and powerboards in series are not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Power circuits are protected with appropriately rated fuses or circuit breakers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Powerboards used for portable electrical equipment are R</w:t>
            </w:r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esidual 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C</w:t>
            </w:r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urrent 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D</w:t>
            </w:r>
            <w:r w:rsidR="00AE030E">
              <w:rPr>
                <w:rFonts w:asciiTheme="minorHAnsi" w:hAnsiTheme="minorHAnsi" w:cstheme="minorHAnsi"/>
                <w:b w:val="0"/>
                <w:w w:val="95"/>
                <w:sz w:val="20"/>
              </w:rPr>
              <w:t>evice (RCD)</w:t>
            </w: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protected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equipment is never used in ‘wet’ areas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841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597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641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Unsafe equipment is disconnected/isolated/labelled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687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868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6856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Testing and tagging is current for all fixed and portable electrical equipment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8618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03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1874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Main and isolation switches are clearly labelled/accessible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406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0826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110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leads, power boards and equipment are kept away from potential sources of damage (e.g. water, heat, being run over)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594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927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869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Compressed air or extra-low voltage equipment is substituted for electrically operated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3103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5624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4496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Electrical equipment is maintained in good condition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159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3636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4297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347E0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1347E0" w:rsidRPr="001347E0" w:rsidRDefault="001347E0" w:rsidP="001347E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1347E0">
              <w:rPr>
                <w:rFonts w:asciiTheme="minorHAnsi" w:hAnsiTheme="minorHAnsi" w:cstheme="minorHAnsi"/>
                <w:b w:val="0"/>
                <w:w w:val="95"/>
                <w:sz w:val="20"/>
              </w:rPr>
              <w:t>Maintenance records are kept and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75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127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088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1347E0" w:rsidRPr="00036484" w:rsidRDefault="001347E0" w:rsidP="001347E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83ED7" w:rsidRDefault="001347E0" w:rsidP="00883ED7">
      <w:pPr>
        <w:pStyle w:val="Heading2"/>
      </w:pPr>
      <w:r>
        <w:t>GUARDING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A33C9" w:rsidRDefault="00883ED7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Guards are designed and fitted to equipment, where required, according to relevant Australian Standards and the manufacturer’s specifications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72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29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771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Guards are altered or removed with a tool (if permanent fixed or interlocked physical barriers cannot be used)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014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7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64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Guards remain in place and plant is disabled if they are removed (deliberately or unintended)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39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14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72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Guarding is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34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86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09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lastRenderedPageBreak/>
              <w:t>Guarding enables easy servicing, maintenance or repair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51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73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914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Machines are turned off and disconnected when servicing, maintenance and repairs are carried out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42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07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6304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Pulley wheels on air compressors are guarded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3169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122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196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Bench grinders/brushers/buffers are guarded (spark shields, side/upper tongue guards, emergency stops, tool rests)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9776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16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14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Pedestal drills are guarded (V-belt access restricted, emergency stops, rotating parts guarded)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245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4270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986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Lathes and milling machines are guarded (rotating parts guarded, DC braking system, lead feed screws, emergency stops), where practicable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94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74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442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Workers are fully instructed about safe procedures for guarding, isolation devices, locks, danger tags and emergency stops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142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83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518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64869" w:rsidRPr="00564869" w:rsidRDefault="00564869" w:rsidP="00564869">
      <w:pPr>
        <w:pStyle w:val="Heading2"/>
      </w:pPr>
      <w:r>
        <w:t>NOISE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A33C9" w:rsidRDefault="00883ED7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ED7" w:rsidRPr="005A33C9" w:rsidRDefault="00883ED7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Noisy tasks are identified, eliminated or minimised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26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92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67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Noise levels are kept below the exposure standard of 85dB(A) in an 8-hour day and below the peak level of 140d(C)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630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40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914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Noise control guarding, screens or partitions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83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69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4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Advisory/warning signage is in place (e.g. Hearing Protection Must Be Worn)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77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202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89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Correct hearing protection (PPE) is provided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276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009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45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458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06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844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384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4866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1690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Critical situations can be communicated despite noise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0304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841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739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Audiometric testing is carried out, if needed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3776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673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309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Audiometric testing records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95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798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39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64869" w:rsidP="00587DFF">
      <w:pPr>
        <w:pStyle w:val="Heading2"/>
      </w:pPr>
      <w:r>
        <w:lastRenderedPageBreak/>
        <w:t>VEHICLE HOISTS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87DFF" w:rsidRPr="005A33C9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A33C9" w:rsidRDefault="00587DFF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Pre-operational checks are made daily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98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268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43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Inspections and maintenance are carried out, at least every 3 months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293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94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38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 comprehensive annual inspection is conducted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041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734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9137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Inspection, servicing and maintenance records are kept in a log book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16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220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246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Workers are trained in correct and safe use of hoists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18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1061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1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There is a minimum 600mm clearance between hoists and other equipment or fixed structures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45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512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619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Safe working load is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074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5919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505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Operating and maintenance instructions are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0045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8557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341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64869" w:rsidP="00587DFF">
      <w:pPr>
        <w:pStyle w:val="Heading2"/>
      </w:pPr>
      <w:r>
        <w:t>VEHICLE JACKS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87DFF" w:rsidRPr="005A33C9" w:rsidTr="00134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A33C9" w:rsidRDefault="00587DFF" w:rsidP="001347E0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87DFF" w:rsidRPr="005A33C9" w:rsidRDefault="00587DFF" w:rsidP="001347E0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Pre-operational checks are made daily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344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794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750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Inspections and maintenance are carried out, at least every 3 months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62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43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310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 comprehensive annual inspection is conducted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0175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853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230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Inspection, servicing and maintenance records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288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808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3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Workers are trained in correct and safe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5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5179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7246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Safe working load is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013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3474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12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134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Operating and maintenance instructions are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790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486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375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64869" w:rsidRDefault="00564869" w:rsidP="00564869">
      <w:pPr>
        <w:pStyle w:val="Heading2"/>
      </w:pPr>
      <w:r>
        <w:lastRenderedPageBreak/>
        <w:t>VEHICLE RAMPS AND STANDS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64869" w:rsidRPr="005A33C9" w:rsidTr="008E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A33C9" w:rsidRDefault="00564869" w:rsidP="008E23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Pre-operational checks are made daily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8517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3609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916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Routine inspections and maintenance are carried out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9964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8081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27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 comprehensive annual inspection is conducted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9292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17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0328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Inspection, servicing and maintenance records are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1011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12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656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Axle stands are based on solid and secure footings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059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68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1665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Vehicles on ramps are secured to prevent movement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428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2693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3631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Safe working load is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622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0540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574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Operating instructions are displayed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417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519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080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64869" w:rsidRDefault="00564869" w:rsidP="00564869">
      <w:pPr>
        <w:pStyle w:val="Heading2"/>
      </w:pPr>
      <w:r>
        <w:t>WELDING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64869" w:rsidRPr="005A33C9" w:rsidTr="008E2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A33C9" w:rsidRDefault="00564869" w:rsidP="008E231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64869" w:rsidRPr="005A33C9" w:rsidRDefault="00564869" w:rsidP="008E231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Welding equipment is used according to the manufacturer’s recommendations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975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3754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970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Non-flammable welding screens/partitions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6208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813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7018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Signs warn that welding is taking place, and entry to the work area is restricted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68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2873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393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There is adequate ventilation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3370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7422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9248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PPE is provided and used (e.g. masks, aprons, gauntlets)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8618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0580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571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Workers are trained in the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7204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502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9782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8611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54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802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t>Oxy/gas cylinders are secured in trolleys or prevented from falling (e.g. chained)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3203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708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476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64869" w:rsidRPr="00036484" w:rsidTr="008E2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64869" w:rsidRPr="00564869" w:rsidRDefault="00564869" w:rsidP="00564869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64869">
              <w:rPr>
                <w:rFonts w:asciiTheme="minorHAnsi" w:hAnsiTheme="minorHAnsi" w:cstheme="minorHAnsi"/>
                <w:b w:val="0"/>
                <w:sz w:val="20"/>
              </w:rPr>
              <w:lastRenderedPageBreak/>
              <w:t>Flashback arrestors are fitted at the blow pipe and to the oxygen and fuel gas regulators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293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7563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121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564869" w:rsidRPr="00036484" w:rsidRDefault="00564869" w:rsidP="0056486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64869" w:rsidRPr="00587DFF" w:rsidRDefault="00564869" w:rsidP="00587DFF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F13DC1" w:rsidRDefault="00F13DC1" w:rsidP="00EF4C05">
      <w:pPr>
        <w:pStyle w:val="BodyText"/>
      </w:pPr>
    </w:p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11" w:rsidRDefault="008E2311" w:rsidP="00185154">
      <w:r>
        <w:separator/>
      </w:r>
    </w:p>
    <w:p w:rsidR="008E2311" w:rsidRDefault="008E2311"/>
  </w:endnote>
  <w:endnote w:type="continuationSeparator" w:id="0">
    <w:p w:rsidR="008E2311" w:rsidRDefault="008E2311" w:rsidP="00185154">
      <w:r>
        <w:continuationSeparator/>
      </w:r>
    </w:p>
    <w:p w:rsidR="008E2311" w:rsidRDefault="008E2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11" w:rsidRPr="00935B12" w:rsidRDefault="008E2311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8E2311" w:rsidRPr="00E560D4" w:rsidRDefault="008E2311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11" w:rsidRDefault="008E2311" w:rsidP="00185154">
      <w:r>
        <w:separator/>
      </w:r>
    </w:p>
    <w:p w:rsidR="008E2311" w:rsidRDefault="008E2311"/>
  </w:footnote>
  <w:footnote w:type="continuationSeparator" w:id="0">
    <w:p w:rsidR="008E2311" w:rsidRDefault="008E2311" w:rsidP="00185154">
      <w:r>
        <w:continuationSeparator/>
      </w:r>
    </w:p>
    <w:p w:rsidR="008E2311" w:rsidRDefault="008E2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11" w:rsidRDefault="005263AD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11" w:rsidRDefault="005263AD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47E0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382A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5615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3AD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4869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2311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148A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30E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56FF6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3282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0036A15D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B7DF-0229-4A7D-976D-F5704BD4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8</cp:revision>
  <cp:lastPrinted>2019-04-15T02:21:00Z</cp:lastPrinted>
  <dcterms:created xsi:type="dcterms:W3CDTF">2020-07-23T01:48:00Z</dcterms:created>
  <dcterms:modified xsi:type="dcterms:W3CDTF">2020-08-24T23:37:00Z</dcterms:modified>
</cp:coreProperties>
</file>