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43" w:rsidRDefault="00B97143" w:rsidP="00B971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7"/>
          <w:szCs w:val="17"/>
        </w:rPr>
      </w:pPr>
      <w:r>
        <w:rPr>
          <w:rFonts w:ascii="TimesNewRomanPSMT" w:hAnsi="TimesNewRomanPSMT" w:cs="TimesNewRomanPSMT"/>
          <w:sz w:val="17"/>
          <w:szCs w:val="17"/>
        </w:rPr>
        <w:t>REGULATIONS</w:t>
      </w:r>
    </w:p>
    <w:p w:rsidR="00B97143" w:rsidRDefault="00B97143" w:rsidP="00803720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South Australia</w:t>
      </w:r>
    </w:p>
    <w:p w:rsidR="00B97143" w:rsidRDefault="00B97143" w:rsidP="00B971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Work Health and Safety (Mine Manager) Variation</w:t>
      </w:r>
    </w:p>
    <w:p w:rsidR="00B97143" w:rsidRDefault="00B97143" w:rsidP="00803720">
      <w:pPr>
        <w:autoSpaceDE w:val="0"/>
        <w:autoSpaceDN w:val="0"/>
        <w:adjustRightInd w:val="0"/>
        <w:spacing w:after="24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Regulations 2020</w:t>
      </w:r>
    </w:p>
    <w:p w:rsidR="00B97143" w:rsidRDefault="00B97143" w:rsidP="00B9714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under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Work Health and Safety Act 2012</w:t>
      </w:r>
    </w:p>
    <w:p w:rsidR="00847C3F" w:rsidRPr="00FC2A72" w:rsidRDefault="00847C3F" w:rsidP="00847C3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32"/>
          <w:szCs w:val="32"/>
          <w:u w:val="single"/>
        </w:rPr>
      </w:pPr>
      <w:r w:rsidRPr="00FC2A72">
        <w:rPr>
          <w:rFonts w:ascii="TimesNewRomanPS-BoldMT" w:hAnsi="TimesNewRomanPS-BoldMT" w:cs="TimesNewRomanPS-BoldMT"/>
          <w:bCs/>
          <w:sz w:val="32"/>
          <w:szCs w:val="32"/>
          <w:u w:val="single"/>
        </w:rPr>
        <w:tab/>
      </w:r>
      <w:r w:rsidRPr="00FC2A72">
        <w:rPr>
          <w:rFonts w:ascii="TimesNewRomanPS-BoldMT" w:hAnsi="TimesNewRomanPS-BoldMT" w:cs="TimesNewRomanPS-BoldMT"/>
          <w:bCs/>
          <w:sz w:val="32"/>
          <w:szCs w:val="32"/>
          <w:u w:val="single"/>
        </w:rPr>
        <w:tab/>
      </w:r>
      <w:r w:rsidRPr="00FC2A72">
        <w:rPr>
          <w:rFonts w:ascii="TimesNewRomanPS-BoldMT" w:hAnsi="TimesNewRomanPS-BoldMT" w:cs="TimesNewRomanPS-BoldMT"/>
          <w:bCs/>
          <w:sz w:val="32"/>
          <w:szCs w:val="32"/>
          <w:u w:val="single"/>
        </w:rPr>
        <w:tab/>
      </w:r>
      <w:r w:rsidRPr="00FC2A72">
        <w:rPr>
          <w:rFonts w:ascii="TimesNewRomanPS-BoldMT" w:hAnsi="TimesNewRomanPS-BoldMT" w:cs="TimesNewRomanPS-BoldMT"/>
          <w:bCs/>
          <w:sz w:val="32"/>
          <w:szCs w:val="32"/>
          <w:u w:val="single"/>
        </w:rPr>
        <w:tab/>
      </w:r>
      <w:r w:rsidRPr="00FC2A72">
        <w:rPr>
          <w:rFonts w:ascii="TimesNewRomanPS-BoldMT" w:hAnsi="TimesNewRomanPS-BoldMT" w:cs="TimesNewRomanPS-BoldMT"/>
          <w:bCs/>
          <w:sz w:val="32"/>
          <w:szCs w:val="32"/>
          <w:u w:val="single"/>
        </w:rPr>
        <w:tab/>
      </w:r>
      <w:r w:rsidRPr="00FC2A72">
        <w:rPr>
          <w:rFonts w:ascii="TimesNewRomanPS-BoldMT" w:hAnsi="TimesNewRomanPS-BoldMT" w:cs="TimesNewRomanPS-BoldMT"/>
          <w:bCs/>
          <w:sz w:val="32"/>
          <w:szCs w:val="32"/>
          <w:u w:val="single"/>
        </w:rPr>
        <w:tab/>
      </w:r>
      <w:r w:rsidRPr="00FC2A72">
        <w:rPr>
          <w:rFonts w:ascii="TimesNewRomanPS-BoldMT" w:hAnsi="TimesNewRomanPS-BoldMT" w:cs="TimesNewRomanPS-BoldMT"/>
          <w:bCs/>
          <w:sz w:val="32"/>
          <w:szCs w:val="32"/>
          <w:u w:val="single"/>
        </w:rPr>
        <w:tab/>
      </w:r>
      <w:r w:rsidRPr="00FC2A72">
        <w:rPr>
          <w:rFonts w:ascii="TimesNewRomanPS-BoldMT" w:hAnsi="TimesNewRomanPS-BoldMT" w:cs="TimesNewRomanPS-BoldMT"/>
          <w:bCs/>
          <w:sz w:val="32"/>
          <w:szCs w:val="32"/>
          <w:u w:val="single"/>
        </w:rPr>
        <w:tab/>
      </w:r>
      <w:r w:rsidRPr="00FC2A72">
        <w:rPr>
          <w:rFonts w:ascii="TimesNewRomanPS-BoldMT" w:hAnsi="TimesNewRomanPS-BoldMT" w:cs="TimesNewRomanPS-BoldMT"/>
          <w:bCs/>
          <w:sz w:val="32"/>
          <w:szCs w:val="32"/>
          <w:u w:val="single"/>
        </w:rPr>
        <w:tab/>
      </w:r>
      <w:r w:rsidRPr="00FC2A72">
        <w:rPr>
          <w:rFonts w:ascii="TimesNewRomanPS-BoldMT" w:hAnsi="TimesNewRomanPS-BoldMT" w:cs="TimesNewRomanPS-BoldMT"/>
          <w:bCs/>
          <w:sz w:val="32"/>
          <w:szCs w:val="32"/>
          <w:u w:val="single"/>
        </w:rPr>
        <w:tab/>
      </w:r>
      <w:r w:rsidRPr="00FC2A72">
        <w:rPr>
          <w:rFonts w:ascii="TimesNewRomanPS-BoldMT" w:hAnsi="TimesNewRomanPS-BoldMT" w:cs="TimesNewRomanPS-BoldMT"/>
          <w:bCs/>
          <w:sz w:val="32"/>
          <w:szCs w:val="32"/>
          <w:u w:val="single"/>
        </w:rPr>
        <w:tab/>
      </w:r>
      <w:r w:rsidRPr="00FC2A72">
        <w:rPr>
          <w:rFonts w:ascii="TimesNewRomanPS-BoldMT" w:hAnsi="TimesNewRomanPS-BoldMT" w:cs="TimesNewRomanPS-BoldMT"/>
          <w:bCs/>
          <w:sz w:val="32"/>
          <w:szCs w:val="32"/>
          <w:u w:val="single"/>
        </w:rPr>
        <w:tab/>
      </w:r>
    </w:p>
    <w:p w:rsidR="00B97143" w:rsidRDefault="00B97143" w:rsidP="00803720">
      <w:pPr>
        <w:autoSpaceDE w:val="0"/>
        <w:autoSpaceDN w:val="0"/>
        <w:adjustRightInd w:val="0"/>
        <w:spacing w:before="240"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Contents</w:t>
      </w:r>
    </w:p>
    <w:p w:rsidR="00B97143" w:rsidRDefault="00B97143" w:rsidP="00B971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Part 1—Preliminary</w:t>
      </w:r>
    </w:p>
    <w:p w:rsidR="00B97143" w:rsidRDefault="00B97143" w:rsidP="00B971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 </w:t>
      </w:r>
      <w:r>
        <w:rPr>
          <w:rFonts w:ascii="TimesNewRomanPSMT" w:hAnsi="TimesNewRomanPSMT" w:cs="TimesNewRomanPSMT"/>
        </w:rPr>
        <w:tab/>
        <w:t>Short title</w:t>
      </w:r>
    </w:p>
    <w:p w:rsidR="00B97143" w:rsidRDefault="00B97143" w:rsidP="00B971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 </w:t>
      </w:r>
      <w:r>
        <w:rPr>
          <w:rFonts w:ascii="TimesNewRomanPSMT" w:hAnsi="TimesNewRomanPSMT" w:cs="TimesNewRomanPSMT"/>
        </w:rPr>
        <w:tab/>
        <w:t>Commencement</w:t>
      </w:r>
    </w:p>
    <w:p w:rsidR="00B97143" w:rsidRDefault="00B97143" w:rsidP="00B971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3 </w:t>
      </w:r>
      <w:r>
        <w:rPr>
          <w:rFonts w:ascii="TimesNewRomanPSMT" w:hAnsi="TimesNewRomanPSMT" w:cs="TimesNewRomanPSMT"/>
        </w:rPr>
        <w:tab/>
        <w:t>Variation provisions</w:t>
      </w:r>
    </w:p>
    <w:p w:rsidR="00B97143" w:rsidRDefault="00B97143" w:rsidP="00B9714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Part 2—Variation of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Work Health and Safety Regulations 2012</w:t>
      </w:r>
    </w:p>
    <w:p w:rsidR="00B97143" w:rsidRDefault="00B97143" w:rsidP="00B971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4 </w:t>
      </w:r>
      <w:r>
        <w:rPr>
          <w:rFonts w:ascii="TimesNewRomanPSMT" w:hAnsi="TimesNewRomanPSMT" w:cs="TimesNewRomanPSMT"/>
        </w:rPr>
        <w:tab/>
        <w:t>Insertion of regulation 615A</w:t>
      </w:r>
    </w:p>
    <w:p w:rsidR="00B97143" w:rsidRDefault="00B97143" w:rsidP="00B971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ab/>
      </w:r>
      <w:r w:rsidRPr="00803720">
        <w:rPr>
          <w:rFonts w:ascii="TimesNewRomanPSMT" w:hAnsi="TimesNewRomanPSMT" w:cs="TimesNewRomanPSMT"/>
        </w:rPr>
        <w:t>615A Duty to appoint mine manager</w:t>
      </w:r>
    </w:p>
    <w:p w:rsidR="00B97143" w:rsidRPr="00FC2A72" w:rsidRDefault="00FC2A72" w:rsidP="00B971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32"/>
          <w:szCs w:val="32"/>
          <w:u w:val="single"/>
        </w:rPr>
      </w:pPr>
      <w:r w:rsidRPr="00FC2A72">
        <w:rPr>
          <w:rFonts w:ascii="TimesNewRomanPS-BoldMT" w:hAnsi="TimesNewRomanPS-BoldMT" w:cs="TimesNewRomanPS-BoldMT"/>
          <w:bCs/>
          <w:sz w:val="32"/>
          <w:szCs w:val="32"/>
          <w:u w:val="single"/>
        </w:rPr>
        <w:tab/>
      </w:r>
      <w:r w:rsidRPr="00FC2A72">
        <w:rPr>
          <w:rFonts w:ascii="TimesNewRomanPS-BoldMT" w:hAnsi="TimesNewRomanPS-BoldMT" w:cs="TimesNewRomanPS-BoldMT"/>
          <w:bCs/>
          <w:sz w:val="32"/>
          <w:szCs w:val="32"/>
          <w:u w:val="single"/>
        </w:rPr>
        <w:tab/>
      </w:r>
      <w:r w:rsidRPr="00FC2A72">
        <w:rPr>
          <w:rFonts w:ascii="TimesNewRomanPS-BoldMT" w:hAnsi="TimesNewRomanPS-BoldMT" w:cs="TimesNewRomanPS-BoldMT"/>
          <w:bCs/>
          <w:sz w:val="32"/>
          <w:szCs w:val="32"/>
          <w:u w:val="single"/>
        </w:rPr>
        <w:tab/>
      </w:r>
      <w:r w:rsidRPr="00FC2A72">
        <w:rPr>
          <w:rFonts w:ascii="TimesNewRomanPS-BoldMT" w:hAnsi="TimesNewRomanPS-BoldMT" w:cs="TimesNewRomanPS-BoldMT"/>
          <w:bCs/>
          <w:sz w:val="32"/>
          <w:szCs w:val="32"/>
          <w:u w:val="single"/>
        </w:rPr>
        <w:tab/>
      </w:r>
      <w:r w:rsidRPr="00FC2A72">
        <w:rPr>
          <w:rFonts w:ascii="TimesNewRomanPS-BoldMT" w:hAnsi="TimesNewRomanPS-BoldMT" w:cs="TimesNewRomanPS-BoldMT"/>
          <w:bCs/>
          <w:sz w:val="32"/>
          <w:szCs w:val="32"/>
          <w:u w:val="single"/>
        </w:rPr>
        <w:tab/>
      </w:r>
      <w:r w:rsidRPr="00FC2A72">
        <w:rPr>
          <w:rFonts w:ascii="TimesNewRomanPS-BoldMT" w:hAnsi="TimesNewRomanPS-BoldMT" w:cs="TimesNewRomanPS-BoldMT"/>
          <w:bCs/>
          <w:sz w:val="32"/>
          <w:szCs w:val="32"/>
          <w:u w:val="single"/>
        </w:rPr>
        <w:tab/>
      </w:r>
      <w:r w:rsidRPr="00FC2A72">
        <w:rPr>
          <w:rFonts w:ascii="TimesNewRomanPS-BoldMT" w:hAnsi="TimesNewRomanPS-BoldMT" w:cs="TimesNewRomanPS-BoldMT"/>
          <w:bCs/>
          <w:sz w:val="32"/>
          <w:szCs w:val="32"/>
          <w:u w:val="single"/>
        </w:rPr>
        <w:tab/>
      </w:r>
      <w:r w:rsidRPr="00FC2A72">
        <w:rPr>
          <w:rFonts w:ascii="TimesNewRomanPS-BoldMT" w:hAnsi="TimesNewRomanPS-BoldMT" w:cs="TimesNewRomanPS-BoldMT"/>
          <w:bCs/>
          <w:sz w:val="32"/>
          <w:szCs w:val="32"/>
          <w:u w:val="single"/>
        </w:rPr>
        <w:tab/>
      </w:r>
      <w:r w:rsidRPr="00FC2A72">
        <w:rPr>
          <w:rFonts w:ascii="TimesNewRomanPS-BoldMT" w:hAnsi="TimesNewRomanPS-BoldMT" w:cs="TimesNewRomanPS-BoldMT"/>
          <w:bCs/>
          <w:sz w:val="32"/>
          <w:szCs w:val="32"/>
          <w:u w:val="single"/>
        </w:rPr>
        <w:tab/>
      </w:r>
      <w:r w:rsidRPr="00FC2A72">
        <w:rPr>
          <w:rFonts w:ascii="TimesNewRomanPS-BoldMT" w:hAnsi="TimesNewRomanPS-BoldMT" w:cs="TimesNewRomanPS-BoldMT"/>
          <w:bCs/>
          <w:sz w:val="32"/>
          <w:szCs w:val="32"/>
          <w:u w:val="single"/>
        </w:rPr>
        <w:tab/>
      </w:r>
      <w:r w:rsidRPr="00FC2A72">
        <w:rPr>
          <w:rFonts w:ascii="TimesNewRomanPS-BoldMT" w:hAnsi="TimesNewRomanPS-BoldMT" w:cs="TimesNewRomanPS-BoldMT"/>
          <w:bCs/>
          <w:sz w:val="32"/>
          <w:szCs w:val="32"/>
          <w:u w:val="single"/>
        </w:rPr>
        <w:tab/>
      </w:r>
      <w:r w:rsidRPr="00FC2A72">
        <w:rPr>
          <w:rFonts w:ascii="TimesNewRomanPS-BoldMT" w:hAnsi="TimesNewRomanPS-BoldMT" w:cs="TimesNewRomanPS-BoldMT"/>
          <w:bCs/>
          <w:sz w:val="32"/>
          <w:szCs w:val="32"/>
          <w:u w:val="single"/>
        </w:rPr>
        <w:tab/>
      </w:r>
    </w:p>
    <w:p w:rsidR="00B97143" w:rsidRDefault="00B97143" w:rsidP="00803720">
      <w:pPr>
        <w:autoSpaceDE w:val="0"/>
        <w:autoSpaceDN w:val="0"/>
        <w:adjustRightInd w:val="0"/>
        <w:spacing w:before="240" w:after="24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Part 1—Preliminary</w:t>
      </w:r>
    </w:p>
    <w:p w:rsidR="00B97143" w:rsidRDefault="00B97143" w:rsidP="0094162E">
      <w:pPr>
        <w:autoSpaceDE w:val="0"/>
        <w:autoSpaceDN w:val="0"/>
        <w:adjustRightInd w:val="0"/>
        <w:spacing w:after="24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1—Short title</w:t>
      </w:r>
    </w:p>
    <w:p w:rsidR="00B97143" w:rsidRDefault="00B97143" w:rsidP="0094162E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These regulations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may be cited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as the </w:t>
      </w: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Work Health and Safety (Mine Manager) Variation</w:t>
      </w:r>
      <w:r w:rsidR="0094162E"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Regulations 2020</w:t>
      </w:r>
      <w:r>
        <w:rPr>
          <w:rFonts w:ascii="TimesNewRomanPSMT" w:hAnsi="TimesNewRomanPSMT" w:cs="TimesNewRomanPSMT"/>
          <w:sz w:val="23"/>
          <w:szCs w:val="23"/>
        </w:rPr>
        <w:t>.</w:t>
      </w:r>
    </w:p>
    <w:p w:rsidR="00B97143" w:rsidRDefault="00B97143" w:rsidP="0094162E">
      <w:pPr>
        <w:autoSpaceDE w:val="0"/>
        <w:autoSpaceDN w:val="0"/>
        <w:adjustRightInd w:val="0"/>
        <w:spacing w:after="24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2—Commencement</w:t>
      </w:r>
    </w:p>
    <w:p w:rsidR="00B97143" w:rsidRDefault="00B97143" w:rsidP="0094162E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These regulations come into operation on 1 January 2021.</w:t>
      </w:r>
    </w:p>
    <w:p w:rsidR="00B97143" w:rsidRDefault="00B97143" w:rsidP="0094162E">
      <w:pPr>
        <w:autoSpaceDE w:val="0"/>
        <w:autoSpaceDN w:val="0"/>
        <w:adjustRightInd w:val="0"/>
        <w:spacing w:after="24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3—Variation provisions</w:t>
      </w:r>
    </w:p>
    <w:p w:rsidR="00B97143" w:rsidRDefault="00B97143" w:rsidP="0094162E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In these regulations, a provision under a heading referring to the variation of specified</w:t>
      </w:r>
      <w:r w:rsidR="0094162E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regulations varies the regulations so specified.</w:t>
      </w:r>
    </w:p>
    <w:p w:rsidR="00B97143" w:rsidRDefault="00B97143" w:rsidP="0094162E">
      <w:pPr>
        <w:autoSpaceDE w:val="0"/>
        <w:autoSpaceDN w:val="0"/>
        <w:adjustRightInd w:val="0"/>
        <w:spacing w:after="24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Part 2—Variation of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>Work Health and Safety Regulations 2012</w:t>
      </w:r>
    </w:p>
    <w:p w:rsidR="00B97143" w:rsidRDefault="00B97143" w:rsidP="0094162E">
      <w:pPr>
        <w:autoSpaceDE w:val="0"/>
        <w:autoSpaceDN w:val="0"/>
        <w:adjustRightInd w:val="0"/>
        <w:spacing w:after="24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4—Insertion of regulation 615A</w:t>
      </w:r>
    </w:p>
    <w:p w:rsidR="00B97143" w:rsidRPr="0094162E" w:rsidRDefault="00B97143" w:rsidP="0094162E">
      <w:pPr>
        <w:autoSpaceDE w:val="0"/>
        <w:autoSpaceDN w:val="0"/>
        <w:adjustRightInd w:val="0"/>
        <w:spacing w:after="240" w:line="240" w:lineRule="auto"/>
        <w:ind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After regulation 615 insert:</w:t>
      </w:r>
    </w:p>
    <w:p w:rsidR="00B97143" w:rsidRDefault="00B97143" w:rsidP="00E3739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615A—Duty to appoint mine manager</w:t>
      </w:r>
    </w:p>
    <w:p w:rsidR="00B97143" w:rsidRDefault="00B97143" w:rsidP="00E3739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(1) If—</w:t>
      </w:r>
    </w:p>
    <w:p w:rsidR="00B97143" w:rsidRDefault="00B97143" w:rsidP="00E3739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(a)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mining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operations are carried out at a mine; and</w:t>
      </w:r>
    </w:p>
    <w:p w:rsidR="00B97143" w:rsidRDefault="00B97143" w:rsidP="0094162E">
      <w:pPr>
        <w:autoSpaceDE w:val="0"/>
        <w:autoSpaceDN w:val="0"/>
        <w:adjustRightInd w:val="0"/>
        <w:spacing w:after="240" w:line="240" w:lineRule="auto"/>
        <w:ind w:left="288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(b)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a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person competent to be a mine manager in relation to the mine</w:t>
      </w:r>
      <w:r w:rsidR="00E37397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has not been appointed as mine manager for the mine,</w:t>
      </w:r>
    </w:p>
    <w:p w:rsidR="00E37397" w:rsidRDefault="00B97143" w:rsidP="0094162E">
      <w:pPr>
        <w:autoSpaceDE w:val="0"/>
        <w:autoSpaceDN w:val="0"/>
        <w:adjustRightInd w:val="0"/>
        <w:spacing w:after="240" w:line="240" w:lineRule="auto"/>
        <w:ind w:left="2160" w:firstLine="720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>the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mine operator is guilty of an offence.</w:t>
      </w:r>
    </w:p>
    <w:p w:rsidR="00B97143" w:rsidRDefault="00B97143" w:rsidP="00E3739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lastRenderedPageBreak/>
        <w:t>Maximum penalty:</w:t>
      </w:r>
    </w:p>
    <w:p w:rsidR="00B97143" w:rsidRDefault="00B97143" w:rsidP="00E3739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(a)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in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the case of an individual—$3 600;</w:t>
      </w:r>
    </w:p>
    <w:p w:rsidR="00E37397" w:rsidRDefault="00B97143" w:rsidP="0094162E">
      <w:pPr>
        <w:autoSpaceDE w:val="0"/>
        <w:autoSpaceDN w:val="0"/>
        <w:adjustRightInd w:val="0"/>
        <w:spacing w:after="240" w:line="240" w:lineRule="auto"/>
        <w:ind w:left="720"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(b)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in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the case of a body corporate—$18 000.</w:t>
      </w:r>
    </w:p>
    <w:p w:rsidR="00B97143" w:rsidRDefault="00B97143" w:rsidP="00E3739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Expiation fee:</w:t>
      </w:r>
    </w:p>
    <w:p w:rsidR="00B97143" w:rsidRDefault="00B97143" w:rsidP="00E3739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(a)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in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the case of an individual—$432;</w:t>
      </w:r>
    </w:p>
    <w:p w:rsidR="00E37397" w:rsidRDefault="00B97143" w:rsidP="0094162E">
      <w:pPr>
        <w:autoSpaceDE w:val="0"/>
        <w:autoSpaceDN w:val="0"/>
        <w:adjustRightInd w:val="0"/>
        <w:spacing w:after="240" w:line="240" w:lineRule="auto"/>
        <w:ind w:left="720"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(b)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in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the case of a body corporate—$2 160.</w:t>
      </w:r>
    </w:p>
    <w:p w:rsidR="00B97143" w:rsidRDefault="00B97143" w:rsidP="0094162E">
      <w:pPr>
        <w:autoSpaceDE w:val="0"/>
        <w:autoSpaceDN w:val="0"/>
        <w:adjustRightInd w:val="0"/>
        <w:spacing w:after="240" w:line="240" w:lineRule="auto"/>
        <w:ind w:left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(2)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Subregulation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(1) does not apply in respect of mining operations carried</w:t>
      </w:r>
      <w:r w:rsidR="0094162E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out at a tourist mine, an exploration site or a precious stones field under the</w:t>
      </w:r>
      <w:r w:rsidR="0094162E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Opal Mining Act 1995</w:t>
      </w:r>
      <w:r>
        <w:rPr>
          <w:rFonts w:ascii="TimesNewRomanPSMT" w:hAnsi="TimesNewRomanPSMT" w:cs="TimesNewRomanPSMT"/>
          <w:sz w:val="23"/>
          <w:szCs w:val="23"/>
        </w:rPr>
        <w:t>.</w:t>
      </w:r>
    </w:p>
    <w:p w:rsidR="00B97143" w:rsidRDefault="00B97143" w:rsidP="0094162E">
      <w:pPr>
        <w:autoSpaceDE w:val="0"/>
        <w:autoSpaceDN w:val="0"/>
        <w:adjustRightInd w:val="0"/>
        <w:spacing w:after="240" w:line="240" w:lineRule="auto"/>
        <w:ind w:left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(3) For the purposes of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subregulation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(1), a mine operator who is competent to</w:t>
      </w:r>
      <w:r w:rsidR="0094162E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 xml:space="preserve">be a mine manager in relation to the mine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may be appointed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as mine</w:t>
      </w:r>
      <w:r w:rsidR="0094162E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manager for the mine.</w:t>
      </w:r>
    </w:p>
    <w:p w:rsidR="00B97143" w:rsidRDefault="00B97143" w:rsidP="0094162E">
      <w:pPr>
        <w:autoSpaceDE w:val="0"/>
        <w:autoSpaceDN w:val="0"/>
        <w:adjustRightInd w:val="0"/>
        <w:spacing w:after="240" w:line="240" w:lineRule="auto"/>
        <w:ind w:left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(4) A mine operator must not, unless permitted to do so in accordance with a</w:t>
      </w:r>
      <w:r w:rsidR="0094162E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 xml:space="preserve">determination by the regulator under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subregulation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(5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)(</w:t>
      </w:r>
      <w:proofErr w:type="gramEnd"/>
      <w:r>
        <w:rPr>
          <w:rFonts w:ascii="TimesNewRomanPSMT" w:hAnsi="TimesNewRomanPSMT" w:cs="TimesNewRomanPSMT"/>
          <w:sz w:val="23"/>
          <w:szCs w:val="23"/>
        </w:rPr>
        <w:t>b), appoint a mine</w:t>
      </w:r>
      <w:r w:rsidR="0094162E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manager in relation to a mine if the mine manager is also a mine manager</w:t>
      </w:r>
      <w:r w:rsidR="0094162E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in relation to another mine.</w:t>
      </w:r>
    </w:p>
    <w:p w:rsidR="00B97143" w:rsidRDefault="00B97143" w:rsidP="00E3739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Maximum penalty:</w:t>
      </w:r>
    </w:p>
    <w:p w:rsidR="00B97143" w:rsidRDefault="00B97143" w:rsidP="00E3739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(a)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in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the case of an individual—$3 600;</w:t>
      </w:r>
    </w:p>
    <w:p w:rsidR="00B97143" w:rsidRDefault="00B97143" w:rsidP="0094162E">
      <w:pPr>
        <w:autoSpaceDE w:val="0"/>
        <w:autoSpaceDN w:val="0"/>
        <w:adjustRightInd w:val="0"/>
        <w:spacing w:after="240" w:line="240" w:lineRule="auto"/>
        <w:ind w:left="720"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(b)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in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the case of a body corporate—$18 000.</w:t>
      </w:r>
    </w:p>
    <w:p w:rsidR="00B97143" w:rsidRDefault="00B97143" w:rsidP="00E3739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lastRenderedPageBreak/>
        <w:t>Expiation fee:</w:t>
      </w:r>
    </w:p>
    <w:p w:rsidR="00B97143" w:rsidRDefault="00B97143" w:rsidP="00E3739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(a)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in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the case of an individual—$432;</w:t>
      </w:r>
    </w:p>
    <w:p w:rsidR="00B97143" w:rsidRDefault="00B97143" w:rsidP="0094162E">
      <w:pPr>
        <w:autoSpaceDE w:val="0"/>
        <w:autoSpaceDN w:val="0"/>
        <w:adjustRightInd w:val="0"/>
        <w:spacing w:after="240" w:line="240" w:lineRule="auto"/>
        <w:ind w:left="720"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(b)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in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the case of a body corporate—$2 160.</w:t>
      </w:r>
    </w:p>
    <w:p w:rsidR="00B97143" w:rsidRDefault="00B97143" w:rsidP="0094162E">
      <w:pPr>
        <w:autoSpaceDE w:val="0"/>
        <w:autoSpaceDN w:val="0"/>
        <w:adjustRightInd w:val="0"/>
        <w:spacing w:after="240" w:line="240" w:lineRule="auto"/>
        <w:ind w:firstLine="720"/>
        <w:rPr>
          <w:rFonts w:ascii="TimesNewRomanPSMT" w:hAnsi="TimesNewRomanPSMT" w:cs="TimesNewRomanPSMT"/>
          <w:sz w:val="23"/>
          <w:szCs w:val="23"/>
        </w:rPr>
      </w:pPr>
      <w:bookmarkStart w:id="0" w:name="Reg6155"/>
      <w:r>
        <w:rPr>
          <w:rFonts w:ascii="TimesNewRomanPSMT" w:hAnsi="TimesNewRomanPSMT" w:cs="TimesNewRomanPSMT"/>
          <w:sz w:val="23"/>
          <w:szCs w:val="23"/>
        </w:rPr>
        <w:t>(5)</w:t>
      </w:r>
      <w:bookmarkEnd w:id="0"/>
      <w:r>
        <w:rPr>
          <w:rFonts w:ascii="TimesNewRomanPSMT" w:hAnsi="TimesNewRomanPSMT" w:cs="TimesNewRomanPSMT"/>
          <w:sz w:val="23"/>
          <w:szCs w:val="23"/>
        </w:rPr>
        <w:t xml:space="preserve"> The regulator may, by notice in the Gazette—</w:t>
      </w:r>
    </w:p>
    <w:p w:rsidR="00847C3F" w:rsidRDefault="00B97143" w:rsidP="0094162E">
      <w:pPr>
        <w:autoSpaceDE w:val="0"/>
        <w:autoSpaceDN w:val="0"/>
        <w:adjustRightInd w:val="0"/>
        <w:spacing w:after="240" w:line="240" w:lineRule="auto"/>
        <w:ind w:left="144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(a)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determine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requirements that must be satisfied by a person before</w:t>
      </w:r>
      <w:r w:rsidR="0094162E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they will be considered competent to be a mine manager in</w:t>
      </w:r>
      <w:r w:rsidR="0094162E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relation to a mine; and</w:t>
      </w:r>
    </w:p>
    <w:p w:rsidR="00B97143" w:rsidRDefault="00B97143" w:rsidP="0094162E">
      <w:pPr>
        <w:autoSpaceDE w:val="0"/>
        <w:autoSpaceDN w:val="0"/>
        <w:adjustRightInd w:val="0"/>
        <w:spacing w:after="240" w:line="240" w:lineRule="auto"/>
        <w:ind w:left="144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(b)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determine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that a mine operator is exempt from the prohibition in</w:t>
      </w:r>
      <w:r w:rsidR="0094162E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 w:rsidR="0094162E">
        <w:rPr>
          <w:rFonts w:ascii="TimesNewRomanPSMT" w:hAnsi="TimesNewRomanPSMT" w:cs="TimesNewRomanPSMT"/>
          <w:sz w:val="23"/>
          <w:szCs w:val="23"/>
        </w:rPr>
        <w:t>subregulation</w:t>
      </w:r>
      <w:proofErr w:type="spellEnd"/>
      <w:r w:rsidR="0094162E">
        <w:rPr>
          <w:rFonts w:ascii="TimesNewRomanPSMT" w:hAnsi="TimesNewRomanPSMT" w:cs="TimesNewRomanPSMT"/>
          <w:sz w:val="23"/>
          <w:szCs w:val="23"/>
        </w:rPr>
        <w:t> </w:t>
      </w:r>
      <w:r>
        <w:rPr>
          <w:rFonts w:ascii="TimesNewRomanPSMT" w:hAnsi="TimesNewRomanPSMT" w:cs="TimesNewRomanPSMT"/>
          <w:sz w:val="23"/>
          <w:szCs w:val="23"/>
        </w:rPr>
        <w:t>(4) in respect of a mine or mines specified in the</w:t>
      </w:r>
      <w:r w:rsidR="0094162E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notice.</w:t>
      </w:r>
    </w:p>
    <w:p w:rsidR="00B97143" w:rsidRDefault="00B97143" w:rsidP="0094162E">
      <w:pPr>
        <w:autoSpaceDE w:val="0"/>
        <w:autoSpaceDN w:val="0"/>
        <w:adjustRightInd w:val="0"/>
        <w:spacing w:after="240" w:line="240" w:lineRule="auto"/>
        <w:ind w:left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(6) A determination under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subregulation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(5)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may be varied or revoked by</w:t>
      </w:r>
      <w:r w:rsidR="0094162E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subsequent notice in the Gazette</w:t>
      </w:r>
      <w:proofErr w:type="gramEnd"/>
      <w:r>
        <w:rPr>
          <w:rFonts w:ascii="TimesNewRomanPSMT" w:hAnsi="TimesNewRomanPSMT" w:cs="TimesNewRomanPSMT"/>
          <w:sz w:val="23"/>
          <w:szCs w:val="23"/>
        </w:rPr>
        <w:t>.</w:t>
      </w:r>
    </w:p>
    <w:p w:rsidR="00847C3F" w:rsidRDefault="00B97143" w:rsidP="0094162E">
      <w:pPr>
        <w:autoSpaceDE w:val="0"/>
        <w:autoSpaceDN w:val="0"/>
        <w:adjustRightInd w:val="0"/>
        <w:spacing w:after="240" w:line="240" w:lineRule="auto"/>
        <w:ind w:left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(7) A determination under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subregulation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(5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)(</w:t>
      </w:r>
      <w:proofErr w:type="gramEnd"/>
      <w:r>
        <w:rPr>
          <w:rFonts w:ascii="TimesNewRomanPSMT" w:hAnsi="TimesNewRomanPSMT" w:cs="TimesNewRomanPSMT"/>
          <w:sz w:val="23"/>
          <w:szCs w:val="23"/>
        </w:rPr>
        <w:t>a) may vary in its application to</w:t>
      </w:r>
      <w:r w:rsidR="0094162E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different mines, having regard to the number of workers and the type of</w:t>
      </w:r>
      <w:r w:rsidR="0094162E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operations carried out at a mine.</w:t>
      </w:r>
    </w:p>
    <w:p w:rsidR="00B97143" w:rsidRDefault="00B97143" w:rsidP="00847C3F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(8) A mine operator must ensure that a record of—</w:t>
      </w:r>
    </w:p>
    <w:p w:rsidR="00B97143" w:rsidRDefault="00B97143" w:rsidP="00847C3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(a)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the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appointment of each mine manager in relation to a mine; and</w:t>
      </w:r>
    </w:p>
    <w:p w:rsidR="00B97143" w:rsidRDefault="00B97143" w:rsidP="0094162E">
      <w:pPr>
        <w:autoSpaceDE w:val="0"/>
        <w:autoSpaceDN w:val="0"/>
        <w:adjustRightInd w:val="0"/>
        <w:spacing w:after="240" w:line="240" w:lineRule="auto"/>
        <w:ind w:left="144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lastRenderedPageBreak/>
        <w:t xml:space="preserve">(b)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any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information provided to the mine operator by a mine manager</w:t>
      </w:r>
      <w:r w:rsidR="0094162E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 xml:space="preserve">in satisfaction of the requirements set out in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subregulation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(9),</w:t>
      </w:r>
    </w:p>
    <w:p w:rsidR="00B97143" w:rsidRDefault="00B97143" w:rsidP="00847C3F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>is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kept for the duration of the person's appointment as mine manager and</w:t>
      </w:r>
    </w:p>
    <w:p w:rsidR="00B97143" w:rsidRDefault="00B97143" w:rsidP="00847C3F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>for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at least 2 years after the person ceases to be a mine manager in relation</w:t>
      </w:r>
    </w:p>
    <w:p w:rsidR="00B97143" w:rsidRDefault="00B97143" w:rsidP="0094162E">
      <w:pPr>
        <w:autoSpaceDE w:val="0"/>
        <w:autoSpaceDN w:val="0"/>
        <w:adjustRightInd w:val="0"/>
        <w:spacing w:after="240" w:line="240" w:lineRule="auto"/>
        <w:ind w:firstLine="720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>to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the mine.</w:t>
      </w:r>
    </w:p>
    <w:p w:rsidR="00B97143" w:rsidRDefault="00B97143" w:rsidP="00847C3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Maximum penalty:</w:t>
      </w:r>
    </w:p>
    <w:p w:rsidR="00B97143" w:rsidRDefault="00B97143" w:rsidP="00847C3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(a)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in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the case of an individual—$1 250;</w:t>
      </w:r>
    </w:p>
    <w:p w:rsidR="00B97143" w:rsidRDefault="00B97143" w:rsidP="0094162E">
      <w:pPr>
        <w:autoSpaceDE w:val="0"/>
        <w:autoSpaceDN w:val="0"/>
        <w:adjustRightInd w:val="0"/>
        <w:spacing w:after="240" w:line="240" w:lineRule="auto"/>
        <w:ind w:left="720"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(b)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in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the case of a body corporate—$6 000.</w:t>
      </w:r>
    </w:p>
    <w:p w:rsidR="00B97143" w:rsidRDefault="00B97143" w:rsidP="00847C3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Expiation fee:</w:t>
      </w:r>
    </w:p>
    <w:p w:rsidR="00B97143" w:rsidRDefault="00B97143" w:rsidP="00847C3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(a)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in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the case of an individual—$144;</w:t>
      </w:r>
    </w:p>
    <w:p w:rsidR="00B97143" w:rsidRDefault="00B97143" w:rsidP="0094162E">
      <w:pPr>
        <w:autoSpaceDE w:val="0"/>
        <w:autoSpaceDN w:val="0"/>
        <w:adjustRightInd w:val="0"/>
        <w:spacing w:after="240" w:line="240" w:lineRule="auto"/>
        <w:ind w:left="720"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(b)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in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the case of a body corporate—$720.</w:t>
      </w:r>
    </w:p>
    <w:p w:rsidR="00B97143" w:rsidRDefault="00B97143" w:rsidP="0094162E">
      <w:pPr>
        <w:autoSpaceDE w:val="0"/>
        <w:autoSpaceDN w:val="0"/>
        <w:adjustRightInd w:val="0"/>
        <w:spacing w:after="240" w:line="240" w:lineRule="auto"/>
        <w:ind w:left="720"/>
        <w:rPr>
          <w:rFonts w:ascii="TimesNewRomanPSMT" w:hAnsi="TimesNewRomanPSMT" w:cs="TimesNewRomanPSMT"/>
          <w:sz w:val="23"/>
          <w:szCs w:val="23"/>
        </w:rPr>
      </w:pPr>
      <w:bookmarkStart w:id="1" w:name="Reg6159"/>
      <w:r>
        <w:rPr>
          <w:rFonts w:ascii="TimesNewRomanPSMT" w:hAnsi="TimesNewRomanPSMT" w:cs="TimesNewRomanPSMT"/>
          <w:sz w:val="23"/>
          <w:szCs w:val="23"/>
        </w:rPr>
        <w:t>(9)</w:t>
      </w:r>
      <w:bookmarkEnd w:id="1"/>
      <w:r>
        <w:rPr>
          <w:rFonts w:ascii="TimesNewRomanPSMT" w:hAnsi="TimesNewRomanPSMT" w:cs="TimesNewRomanPSMT"/>
          <w:sz w:val="23"/>
          <w:szCs w:val="23"/>
        </w:rPr>
        <w:t xml:space="preserve"> A person is competent to be a mine manager in relation to a mine for the</w:t>
      </w:r>
      <w:r w:rsidR="0094162E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 xml:space="preserve">purposes of this regulation </w:t>
      </w:r>
      <w:bookmarkStart w:id="2" w:name="_GoBack"/>
      <w:bookmarkEnd w:id="2"/>
      <w:r>
        <w:rPr>
          <w:rFonts w:ascii="TimesNewRomanPSMT" w:hAnsi="TimesNewRomanPSMT" w:cs="TimesNewRomanPSMT"/>
          <w:sz w:val="23"/>
          <w:szCs w:val="23"/>
        </w:rPr>
        <w:t>if the person has satisfied the mine operator—</w:t>
      </w:r>
    </w:p>
    <w:p w:rsidR="00B97143" w:rsidRDefault="00B97143" w:rsidP="0094162E">
      <w:pPr>
        <w:autoSpaceDE w:val="0"/>
        <w:autoSpaceDN w:val="0"/>
        <w:adjustRightInd w:val="0"/>
        <w:spacing w:after="240" w:line="240" w:lineRule="auto"/>
        <w:ind w:left="720"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(a)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that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the person—</w:t>
      </w:r>
    </w:p>
    <w:p w:rsidR="00B97143" w:rsidRDefault="00B97143" w:rsidP="0094162E">
      <w:pPr>
        <w:autoSpaceDE w:val="0"/>
        <w:autoSpaceDN w:val="0"/>
        <w:adjustRightInd w:val="0"/>
        <w:spacing w:after="240" w:line="240" w:lineRule="auto"/>
        <w:ind w:left="216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(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i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)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has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the relevant training, qualifications, experience,</w:t>
      </w:r>
      <w:r w:rsidR="0094162E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knowledge and skills to manage and supervise the mining</w:t>
      </w:r>
      <w:r w:rsidR="0094162E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operations carried out at the mine; and</w:t>
      </w:r>
    </w:p>
    <w:p w:rsidR="00B97143" w:rsidRDefault="00B97143" w:rsidP="0094162E">
      <w:pPr>
        <w:autoSpaceDE w:val="0"/>
        <w:autoSpaceDN w:val="0"/>
        <w:adjustRightInd w:val="0"/>
        <w:spacing w:after="240" w:line="240" w:lineRule="auto"/>
        <w:ind w:left="216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(ii)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has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knowledge of the requirements of the Act and these</w:t>
      </w:r>
      <w:r w:rsidR="0094162E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regulations (particularly this Chapter); and</w:t>
      </w:r>
    </w:p>
    <w:p w:rsidR="00B97143" w:rsidRDefault="00B97143" w:rsidP="0094162E">
      <w:pPr>
        <w:autoSpaceDE w:val="0"/>
        <w:autoSpaceDN w:val="0"/>
        <w:adjustRightInd w:val="0"/>
        <w:spacing w:after="240" w:line="240" w:lineRule="auto"/>
        <w:ind w:left="1440"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(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iii</w:t>
      </w:r>
      <w:proofErr w:type="gramEnd"/>
      <w:r>
        <w:rPr>
          <w:rFonts w:ascii="TimesNewRomanPSMT" w:hAnsi="TimesNewRomanPSMT" w:cs="TimesNewRomanPSMT"/>
          <w:sz w:val="23"/>
          <w:szCs w:val="23"/>
        </w:rPr>
        <w:t>) is capable of managing hazards at the mine; and</w:t>
      </w:r>
    </w:p>
    <w:p w:rsidR="00B97143" w:rsidRDefault="00B97143" w:rsidP="0094162E">
      <w:pPr>
        <w:autoSpaceDE w:val="0"/>
        <w:autoSpaceDN w:val="0"/>
        <w:adjustRightInd w:val="0"/>
        <w:spacing w:after="240" w:line="240" w:lineRule="auto"/>
        <w:ind w:left="144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(b)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in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relation to an underground mine with 20 or more workers—that</w:t>
      </w:r>
      <w:r w:rsidR="0094162E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the person—</w:t>
      </w:r>
    </w:p>
    <w:p w:rsidR="00B97143" w:rsidRDefault="00B97143" w:rsidP="00803720">
      <w:pPr>
        <w:autoSpaceDE w:val="0"/>
        <w:autoSpaceDN w:val="0"/>
        <w:adjustRightInd w:val="0"/>
        <w:spacing w:after="240" w:line="240" w:lineRule="auto"/>
        <w:ind w:left="216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(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i</w:t>
      </w:r>
      <w:proofErr w:type="spellEnd"/>
      <w:r>
        <w:rPr>
          <w:rFonts w:ascii="TimesNewRomanPSMT" w:hAnsi="TimesNewRomanPSMT" w:cs="TimesNewRomanPSMT"/>
          <w:sz w:val="23"/>
          <w:szCs w:val="23"/>
        </w:rPr>
        <w:t>) holds a degree or diploma in mining engineering from a</w:t>
      </w:r>
      <w:r w:rsidR="00803720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university or tertiary institution in Australia, or an</w:t>
      </w:r>
      <w:r w:rsidR="00803720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equivalent institution as determined by the regulator; and</w:t>
      </w:r>
    </w:p>
    <w:p w:rsidR="00B97143" w:rsidRDefault="00B97143" w:rsidP="00803720">
      <w:pPr>
        <w:autoSpaceDE w:val="0"/>
        <w:autoSpaceDN w:val="0"/>
        <w:adjustRightInd w:val="0"/>
        <w:spacing w:after="240" w:line="240" w:lineRule="auto"/>
        <w:ind w:left="1440"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(ii)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satisfies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the requirements of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subregulation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(10); and</w:t>
      </w:r>
    </w:p>
    <w:p w:rsidR="00B97143" w:rsidRDefault="00B97143" w:rsidP="00803720">
      <w:pPr>
        <w:autoSpaceDE w:val="0"/>
        <w:autoSpaceDN w:val="0"/>
        <w:adjustRightInd w:val="0"/>
        <w:spacing w:after="240" w:line="240" w:lineRule="auto"/>
        <w:ind w:left="144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(c)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that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the person has met the requirements specified by the regulator</w:t>
      </w:r>
      <w:r w:rsidR="00803720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 xml:space="preserve">in any applicable determination made under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subregulation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(5)(a).</w:t>
      </w:r>
    </w:p>
    <w:p w:rsidR="00B97143" w:rsidRDefault="00B97143" w:rsidP="00803720">
      <w:pPr>
        <w:autoSpaceDE w:val="0"/>
        <w:autoSpaceDN w:val="0"/>
        <w:adjustRightInd w:val="0"/>
        <w:spacing w:after="240" w:line="240" w:lineRule="auto"/>
        <w:ind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(10) A person satisfies the requirements of this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subregulation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if—</w:t>
      </w:r>
    </w:p>
    <w:p w:rsidR="00B97143" w:rsidRDefault="00B97143" w:rsidP="00803720">
      <w:pPr>
        <w:autoSpaceDE w:val="0"/>
        <w:autoSpaceDN w:val="0"/>
        <w:adjustRightInd w:val="0"/>
        <w:spacing w:after="240" w:line="240" w:lineRule="auto"/>
        <w:ind w:left="720"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(a)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the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person has at least 5 years' experience working at a mine; and</w:t>
      </w:r>
    </w:p>
    <w:p w:rsidR="00B97143" w:rsidRDefault="00B97143" w:rsidP="00803720">
      <w:pPr>
        <w:autoSpaceDE w:val="0"/>
        <w:autoSpaceDN w:val="0"/>
        <w:adjustRightInd w:val="0"/>
        <w:spacing w:after="240" w:line="240" w:lineRule="auto"/>
        <w:ind w:left="144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(b)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at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least 3 of those years were spent working at an underground</w:t>
      </w:r>
      <w:r w:rsidR="00803720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mine during which the person had—</w:t>
      </w:r>
    </w:p>
    <w:p w:rsidR="00B97143" w:rsidRDefault="00B97143" w:rsidP="00803720">
      <w:pPr>
        <w:autoSpaceDE w:val="0"/>
        <w:autoSpaceDN w:val="0"/>
        <w:adjustRightInd w:val="0"/>
        <w:spacing w:after="240" w:line="240" w:lineRule="auto"/>
        <w:ind w:left="1440"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(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i</w:t>
      </w:r>
      <w:proofErr w:type="spellEnd"/>
      <w:r>
        <w:rPr>
          <w:rFonts w:ascii="TimesNewRomanPSMT" w:hAnsi="TimesNewRomanPSMT" w:cs="TimesNewRomanPSMT"/>
          <w:sz w:val="23"/>
          <w:szCs w:val="23"/>
        </w:rPr>
        <w:t>) 2 years' underground mining operational experience; and</w:t>
      </w:r>
    </w:p>
    <w:p w:rsidR="00B97143" w:rsidRDefault="00B97143" w:rsidP="00803720">
      <w:pPr>
        <w:autoSpaceDE w:val="0"/>
        <w:autoSpaceDN w:val="0"/>
        <w:adjustRightInd w:val="0"/>
        <w:spacing w:after="240" w:line="240" w:lineRule="auto"/>
        <w:ind w:left="1440"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lastRenderedPageBreak/>
        <w:t xml:space="preserve">(ii)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experience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supervising underground mining operations.</w:t>
      </w:r>
    </w:p>
    <w:p w:rsidR="00B97143" w:rsidRDefault="00B97143" w:rsidP="00B971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Note—</w:t>
      </w:r>
    </w:p>
    <w:p w:rsidR="00B97143" w:rsidRDefault="00B97143" w:rsidP="00B971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As required by section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10AA(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2) of the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Subordinate Legislation Act 1978</w:t>
      </w:r>
      <w:r>
        <w:rPr>
          <w:rFonts w:ascii="TimesNewRomanPSMT" w:hAnsi="TimesNewRomanPSMT" w:cs="TimesNewRomanPSMT"/>
          <w:sz w:val="20"/>
          <w:szCs w:val="20"/>
        </w:rPr>
        <w:t>, the Minister has certified that, in</w:t>
      </w:r>
    </w:p>
    <w:p w:rsidR="00B97143" w:rsidRDefault="00B97143" w:rsidP="00B971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the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Minister's opinion, it is necessary or appropriate that these regulations come into operation as set out in</w:t>
      </w:r>
    </w:p>
    <w:p w:rsidR="00B97143" w:rsidRDefault="00B97143" w:rsidP="0094162E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these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regulations.</w:t>
      </w:r>
    </w:p>
    <w:p w:rsidR="00B97143" w:rsidRDefault="00B97143" w:rsidP="00B971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Made by the Governor</w:t>
      </w:r>
    </w:p>
    <w:p w:rsidR="00B97143" w:rsidRDefault="00B97143" w:rsidP="00B971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>with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the advice and consent of the Executive Council</w:t>
      </w:r>
    </w:p>
    <w:p w:rsidR="00B97143" w:rsidRDefault="00B97143" w:rsidP="00B971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>on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19 November 2020</w:t>
      </w:r>
    </w:p>
    <w:p w:rsidR="00FF40FB" w:rsidRDefault="00B97143" w:rsidP="0094162E">
      <w:pPr>
        <w:spacing w:after="24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No 295 of 2020</w:t>
      </w:r>
    </w:p>
    <w:p w:rsidR="00847C3F" w:rsidRPr="0094162E" w:rsidRDefault="00847C3F" w:rsidP="009416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T</w:t>
      </w:r>
      <w:r>
        <w:rPr>
          <w:rFonts w:ascii="TimesNewRomanPSMT" w:hAnsi="TimesNewRomanPSMT" w:cs="TimesNewRomanPSMT"/>
          <w:sz w:val="17"/>
          <w:szCs w:val="17"/>
        </w:rPr>
        <w:t xml:space="preserve">HE </w:t>
      </w:r>
      <w:r>
        <w:rPr>
          <w:rFonts w:ascii="TimesNewRomanPSMT" w:hAnsi="TimesNewRomanPSMT" w:cs="TimesNewRomanPSMT"/>
          <w:sz w:val="21"/>
          <w:szCs w:val="21"/>
        </w:rPr>
        <w:t>S</w:t>
      </w:r>
      <w:r>
        <w:rPr>
          <w:rFonts w:ascii="TimesNewRomanPSMT" w:hAnsi="TimesNewRomanPSMT" w:cs="TimesNewRomanPSMT"/>
          <w:sz w:val="17"/>
          <w:szCs w:val="17"/>
        </w:rPr>
        <w:t xml:space="preserve">OUTH </w:t>
      </w:r>
      <w:r>
        <w:rPr>
          <w:rFonts w:ascii="TimesNewRomanPSMT" w:hAnsi="TimesNewRomanPSMT" w:cs="TimesNewRomanPSMT"/>
          <w:sz w:val="21"/>
          <w:szCs w:val="21"/>
        </w:rPr>
        <w:t>A</w:t>
      </w:r>
      <w:r>
        <w:rPr>
          <w:rFonts w:ascii="TimesNewRomanPSMT" w:hAnsi="TimesNewRomanPSMT" w:cs="TimesNewRomanPSMT"/>
          <w:sz w:val="17"/>
          <w:szCs w:val="17"/>
        </w:rPr>
        <w:t xml:space="preserve">USTRALIAN </w:t>
      </w:r>
      <w:r>
        <w:rPr>
          <w:rFonts w:ascii="TimesNewRomanPSMT" w:hAnsi="TimesNewRomanPSMT" w:cs="TimesNewRomanPSMT"/>
          <w:sz w:val="21"/>
          <w:szCs w:val="21"/>
        </w:rPr>
        <w:t>G</w:t>
      </w:r>
      <w:r>
        <w:rPr>
          <w:rFonts w:ascii="TimesNewRomanPSMT" w:hAnsi="TimesNewRomanPSMT" w:cs="TimesNewRomanPSMT"/>
          <w:sz w:val="17"/>
          <w:szCs w:val="17"/>
        </w:rPr>
        <w:t xml:space="preserve">OVERNMENT </w:t>
      </w:r>
      <w:r>
        <w:rPr>
          <w:rFonts w:ascii="TimesNewRomanPSMT" w:hAnsi="TimesNewRomanPSMT" w:cs="TimesNewRomanPSMT"/>
          <w:sz w:val="21"/>
          <w:szCs w:val="21"/>
        </w:rPr>
        <w:t>G</w:t>
      </w:r>
      <w:r>
        <w:rPr>
          <w:rFonts w:ascii="TimesNewRomanPSMT" w:hAnsi="TimesNewRomanPSMT" w:cs="TimesNewRomanPSMT"/>
          <w:sz w:val="17"/>
          <w:szCs w:val="17"/>
        </w:rPr>
        <w:t xml:space="preserve">AZETTE </w:t>
      </w:r>
      <w:r>
        <w:rPr>
          <w:rFonts w:ascii="TimesNewRomanPSMT" w:hAnsi="TimesNewRomanPSMT" w:cs="TimesNewRomanPSMT"/>
          <w:sz w:val="21"/>
          <w:szCs w:val="21"/>
        </w:rPr>
        <w:t>19 November 2020</w:t>
      </w:r>
    </w:p>
    <w:sectPr w:rsidR="00847C3F" w:rsidRPr="009416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43"/>
    <w:rsid w:val="00136E1F"/>
    <w:rsid w:val="002907E0"/>
    <w:rsid w:val="00803720"/>
    <w:rsid w:val="00847C3F"/>
    <w:rsid w:val="0094162E"/>
    <w:rsid w:val="00B97143"/>
    <w:rsid w:val="00DF615E"/>
    <w:rsid w:val="00E37397"/>
    <w:rsid w:val="00FC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B6E97"/>
  <w15:chartTrackingRefBased/>
  <w15:docId w15:val="{134CF610-730C-4E65-AD5F-3CF5D068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Finance, South Australia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Sneath, Erin (DTF)</dc:creator>
  <cp:keywords/>
  <dc:description/>
  <cp:lastModifiedBy>Hansen, Kim (DTF)</cp:lastModifiedBy>
  <cp:revision>3</cp:revision>
  <dcterms:created xsi:type="dcterms:W3CDTF">2020-12-17T23:23:00Z</dcterms:created>
  <dcterms:modified xsi:type="dcterms:W3CDTF">2020-12-17T23:26:00Z</dcterms:modified>
</cp:coreProperties>
</file>